
<file path=[Content_Types].xml><?xml version="1.0" encoding="utf-8"?>
<Types xmlns="http://schemas.openxmlformats.org/package/2006/content-types">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F7A" w:rsidRDefault="00506286" w:rsidP="00093F7A">
      <w:pPr>
        <w:jc w:val="center"/>
        <w:rPr>
          <w:rFonts w:ascii="Times New Roman" w:hAnsi="Times New Roman" w:cs="Times New Roman"/>
          <w:b/>
          <w:sz w:val="24"/>
          <w:szCs w:val="24"/>
        </w:rPr>
      </w:pPr>
      <w:r w:rsidRPr="00506286">
        <w:rPr>
          <w:rFonts w:ascii="Times New Roman" w:hAnsi="Times New Roman" w:cs="Times New Roman"/>
          <w:b/>
          <w:sz w:val="24"/>
          <w:szCs w:val="24"/>
        </w:rPr>
        <w:t>JONIŠKIO RAJONO SAVIVALDYBĖS 2017 METŲ ŠVIETIMO PAŽANGOS ATASKAITA</w:t>
      </w:r>
    </w:p>
    <w:p w:rsidR="0082166C" w:rsidRDefault="0082166C" w:rsidP="00CC25CF">
      <w:pPr>
        <w:pStyle w:val="NoSpacing"/>
        <w:spacing w:line="276" w:lineRule="auto"/>
        <w:rPr>
          <w:rFonts w:ascii="Times New Roman" w:hAnsi="Times New Roman" w:cs="Times New Roman"/>
          <w:b/>
          <w:color w:val="000000"/>
          <w:sz w:val="24"/>
          <w:szCs w:val="24"/>
        </w:rPr>
      </w:pPr>
      <w:r w:rsidRPr="0082166C">
        <w:rPr>
          <w:rFonts w:ascii="Times New Roman" w:hAnsi="Times New Roman" w:cs="Times New Roman"/>
          <w:b/>
          <w:color w:val="000000"/>
          <w:sz w:val="24"/>
          <w:szCs w:val="24"/>
        </w:rPr>
        <w:t>Švietimo būklės apžvalga</w:t>
      </w:r>
    </w:p>
    <w:p w:rsidR="0082166C" w:rsidRPr="0082166C" w:rsidRDefault="0082166C" w:rsidP="00CC25CF">
      <w:pPr>
        <w:pStyle w:val="NoSpacing"/>
        <w:spacing w:line="276" w:lineRule="auto"/>
        <w:rPr>
          <w:rFonts w:ascii="Times New Roman" w:hAnsi="Times New Roman" w:cs="Times New Roman"/>
          <w:b/>
          <w:color w:val="000000"/>
          <w:sz w:val="24"/>
          <w:szCs w:val="24"/>
        </w:rPr>
      </w:pPr>
    </w:p>
    <w:p w:rsidR="00506286" w:rsidRPr="00506286" w:rsidRDefault="0042561D" w:rsidP="00CC25CF">
      <w:pPr>
        <w:pStyle w:val="NoSpacing"/>
        <w:spacing w:line="276" w:lineRule="auto"/>
        <w:rPr>
          <w:rFonts w:ascii="Times New Roman" w:eastAsia="Calibri" w:hAnsi="Times New Roman" w:cs="Times New Roman"/>
          <w:sz w:val="24"/>
          <w:szCs w:val="24"/>
        </w:rPr>
      </w:pPr>
      <w:r>
        <w:rPr>
          <w:rFonts w:ascii="Times New Roman" w:hAnsi="Times New Roman" w:cs="Times New Roman"/>
          <w:color w:val="000000"/>
          <w:sz w:val="24"/>
          <w:szCs w:val="24"/>
        </w:rPr>
        <w:t xml:space="preserve">           </w:t>
      </w:r>
      <w:r w:rsidR="00506286" w:rsidRPr="00506286">
        <w:rPr>
          <w:rFonts w:ascii="Times New Roman" w:eastAsia="Calibri" w:hAnsi="Times New Roman" w:cs="Times New Roman"/>
          <w:color w:val="000000"/>
          <w:sz w:val="24"/>
          <w:szCs w:val="24"/>
        </w:rPr>
        <w:t xml:space="preserve">Joniškio rajono savivaldybės administracijos Švietimo, kultūros ir sporto skyrius (toliau – Švietimo, kultūros ir </w:t>
      </w:r>
      <w:r w:rsidR="00506286" w:rsidRPr="00506286">
        <w:rPr>
          <w:rFonts w:ascii="Times New Roman" w:eastAsia="Calibri" w:hAnsi="Times New Roman" w:cs="Times New Roman"/>
          <w:sz w:val="24"/>
          <w:szCs w:val="24"/>
        </w:rPr>
        <w:t>sporto skyrius), įgyvendindamas skyriaus nuostatuose nustatytas funkcijas, administracijos direktoriaus pavedimus, nurodymus, įpareigojimus, vykdė įvairias veiklas, bendradarbiavo su savivaldybės administracijos struktūriniais padaliniais, Švietimo ir mokslo ministerija. Kaip ir ankstesniais metais, vienas svarbiausių skyriaus uždavinių – koordinuoti ir administruoti Joniškio rajono savivaldybei pavaldžių mokyklų ir pagalbos mokiniui, mokytojui ir mokyklai įstaigų veiklą.</w:t>
      </w:r>
    </w:p>
    <w:p w:rsidR="00506286" w:rsidRDefault="001A4D90" w:rsidP="00CC25CF">
      <w:pPr>
        <w:pStyle w:val="NoSpacing"/>
        <w:spacing w:line="276" w:lineRule="auto"/>
        <w:rPr>
          <w:rFonts w:ascii="Times New Roman" w:hAnsi="Times New Roman" w:cs="Times New Roman"/>
          <w:color w:val="000000"/>
          <w:sz w:val="24"/>
          <w:szCs w:val="24"/>
        </w:rPr>
      </w:pPr>
      <w:r>
        <w:rPr>
          <w:rFonts w:ascii="Times New Roman" w:hAnsi="Times New Roman" w:cs="Times New Roman"/>
          <w:sz w:val="24"/>
          <w:szCs w:val="24"/>
        </w:rPr>
        <w:t xml:space="preserve">        </w:t>
      </w:r>
      <w:r w:rsidR="0042561D">
        <w:rPr>
          <w:rFonts w:ascii="Times New Roman" w:hAnsi="Times New Roman" w:cs="Times New Roman"/>
          <w:sz w:val="24"/>
          <w:szCs w:val="24"/>
        </w:rPr>
        <w:t xml:space="preserve">  </w:t>
      </w:r>
      <w:r w:rsidR="00506286" w:rsidRPr="00506286">
        <w:rPr>
          <w:rFonts w:ascii="Times New Roman" w:eastAsia="Calibri" w:hAnsi="Times New Roman" w:cs="Times New Roman"/>
          <w:sz w:val="24"/>
          <w:szCs w:val="24"/>
        </w:rPr>
        <w:t xml:space="preserve">2017 metų pabaigoje </w:t>
      </w:r>
      <w:r w:rsidR="00506286" w:rsidRPr="00506286">
        <w:rPr>
          <w:rFonts w:ascii="Times New Roman" w:eastAsia="Calibri" w:hAnsi="Times New Roman" w:cs="Times New Roman"/>
          <w:color w:val="000000"/>
          <w:sz w:val="24"/>
          <w:szCs w:val="24"/>
        </w:rPr>
        <w:t xml:space="preserve">Švietimo, kultūros ir sporto skyriuje dirbo 12 darbuotojų: 10 valstybės (karjeros) tarnautojų ir 2 darbuotojai, dirbantys pagal darbo sutartis. </w:t>
      </w:r>
      <w:proofErr w:type="spellStart"/>
      <w:r w:rsidR="00506286" w:rsidRPr="00506286">
        <w:rPr>
          <w:rFonts w:ascii="Times New Roman" w:eastAsia="Calibri" w:hAnsi="Times New Roman" w:cs="Times New Roman"/>
          <w:color w:val="000000"/>
          <w:sz w:val="24"/>
          <w:szCs w:val="24"/>
        </w:rPr>
        <w:t>Tarpinstitucinio</w:t>
      </w:r>
      <w:proofErr w:type="spellEnd"/>
      <w:r w:rsidR="00506286" w:rsidRPr="00506286">
        <w:rPr>
          <w:rFonts w:ascii="Times New Roman" w:eastAsia="Calibri" w:hAnsi="Times New Roman" w:cs="Times New Roman"/>
          <w:color w:val="000000"/>
          <w:sz w:val="24"/>
          <w:szCs w:val="24"/>
        </w:rPr>
        <w:t xml:space="preserve"> bendradarbiavimo koordinatorius skyriuje dirbti pradėjo 2017 m. spalio mėnesį. </w:t>
      </w:r>
    </w:p>
    <w:p w:rsidR="00506286" w:rsidRPr="00506286" w:rsidRDefault="00506286" w:rsidP="00CC25CF">
      <w:pPr>
        <w:pStyle w:val="NoSpacing"/>
        <w:spacing w:line="276" w:lineRule="auto"/>
        <w:rPr>
          <w:rFonts w:ascii="Times New Roman" w:eastAsia="Calibri" w:hAnsi="Times New Roman" w:cs="Times New Roman"/>
          <w:sz w:val="24"/>
          <w:szCs w:val="24"/>
        </w:rPr>
      </w:pPr>
      <w:r w:rsidRPr="00506286">
        <w:rPr>
          <w:rFonts w:ascii="Times New Roman" w:eastAsia="Calibri" w:hAnsi="Times New Roman" w:cs="Times New Roman"/>
          <w:sz w:val="24"/>
          <w:szCs w:val="24"/>
        </w:rPr>
        <w:t xml:space="preserve">Švietimo, kultūros ir sporto skyriaus prioritetinės veiklos kryptys </w:t>
      </w:r>
      <w:r w:rsidRPr="00506286">
        <w:rPr>
          <w:rFonts w:ascii="Times New Roman" w:hAnsi="Times New Roman" w:cs="Times New Roman"/>
          <w:sz w:val="24"/>
          <w:szCs w:val="24"/>
        </w:rPr>
        <w:t xml:space="preserve">švietimo srityje </w:t>
      </w:r>
      <w:r w:rsidRPr="00506286">
        <w:rPr>
          <w:rFonts w:ascii="Times New Roman" w:eastAsia="Calibri" w:hAnsi="Times New Roman" w:cs="Times New Roman"/>
          <w:sz w:val="24"/>
          <w:szCs w:val="24"/>
        </w:rPr>
        <w:t xml:space="preserve">buvo: </w:t>
      </w:r>
    </w:p>
    <w:p w:rsidR="00506286" w:rsidRPr="00506286" w:rsidRDefault="00506286" w:rsidP="00CC25CF">
      <w:pPr>
        <w:pStyle w:val="NoSpacing"/>
        <w:numPr>
          <w:ilvl w:val="0"/>
          <w:numId w:val="2"/>
        </w:numPr>
        <w:spacing w:line="276" w:lineRule="auto"/>
        <w:rPr>
          <w:rFonts w:ascii="Times New Roman" w:eastAsia="Calibri" w:hAnsi="Times New Roman" w:cs="Times New Roman"/>
          <w:sz w:val="24"/>
          <w:szCs w:val="24"/>
        </w:rPr>
      </w:pPr>
      <w:r w:rsidRPr="00506286">
        <w:rPr>
          <w:rFonts w:ascii="Times New Roman" w:eastAsia="Calibri" w:hAnsi="Times New Roman" w:cs="Times New Roman"/>
          <w:sz w:val="24"/>
          <w:szCs w:val="24"/>
        </w:rPr>
        <w:t>Sudaryti sąlygas ugdytis ir įgyti išsilavinimą pagal įvairias ugdymo programas.</w:t>
      </w:r>
    </w:p>
    <w:p w:rsidR="00506286" w:rsidRPr="00506286" w:rsidRDefault="00506286" w:rsidP="00CC25CF">
      <w:pPr>
        <w:pStyle w:val="NoSpacing"/>
        <w:numPr>
          <w:ilvl w:val="0"/>
          <w:numId w:val="2"/>
        </w:numPr>
        <w:spacing w:line="276" w:lineRule="auto"/>
        <w:rPr>
          <w:rFonts w:ascii="Times New Roman" w:eastAsia="Calibri" w:hAnsi="Times New Roman" w:cs="Times New Roman"/>
          <w:sz w:val="24"/>
          <w:szCs w:val="24"/>
        </w:rPr>
      </w:pPr>
      <w:r w:rsidRPr="00506286">
        <w:rPr>
          <w:rFonts w:ascii="Times New Roman" w:eastAsia="Calibri" w:hAnsi="Times New Roman" w:cs="Times New Roman"/>
          <w:sz w:val="24"/>
          <w:szCs w:val="24"/>
        </w:rPr>
        <w:t>Neformalaus vaikų švietimo kaita.</w:t>
      </w:r>
    </w:p>
    <w:p w:rsidR="0082166C" w:rsidRDefault="0082166C" w:rsidP="00CC25CF">
      <w:pPr>
        <w:pStyle w:val="NoSpacing"/>
        <w:spacing w:line="276" w:lineRule="auto"/>
        <w:rPr>
          <w:rFonts w:ascii="Times New Roman" w:hAnsi="Times New Roman" w:cs="Times New Roman"/>
          <w:b/>
          <w:sz w:val="24"/>
          <w:szCs w:val="24"/>
        </w:rPr>
      </w:pPr>
    </w:p>
    <w:p w:rsidR="00093F7A" w:rsidRDefault="00093F7A" w:rsidP="00CC25CF">
      <w:pPr>
        <w:pStyle w:val="NoSpacing"/>
        <w:spacing w:line="276" w:lineRule="auto"/>
        <w:rPr>
          <w:rFonts w:ascii="Times New Roman" w:hAnsi="Times New Roman" w:cs="Times New Roman"/>
          <w:b/>
          <w:sz w:val="24"/>
          <w:szCs w:val="24"/>
        </w:rPr>
      </w:pPr>
      <w:r w:rsidRPr="00093F7A">
        <w:rPr>
          <w:rFonts w:ascii="Times New Roman" w:hAnsi="Times New Roman" w:cs="Times New Roman"/>
          <w:b/>
          <w:sz w:val="24"/>
          <w:szCs w:val="24"/>
        </w:rPr>
        <w:t>Ugdymo  įstaigų tink</w:t>
      </w:r>
      <w:r>
        <w:rPr>
          <w:rFonts w:ascii="Times New Roman" w:hAnsi="Times New Roman" w:cs="Times New Roman"/>
          <w:b/>
          <w:sz w:val="24"/>
          <w:szCs w:val="24"/>
        </w:rPr>
        <w:t>las</w:t>
      </w:r>
    </w:p>
    <w:p w:rsidR="0082166C" w:rsidRPr="00093F7A" w:rsidRDefault="0082166C" w:rsidP="00CC25CF">
      <w:pPr>
        <w:pStyle w:val="NoSpacing"/>
        <w:spacing w:line="276" w:lineRule="auto"/>
        <w:rPr>
          <w:rFonts w:ascii="Times New Roman" w:hAnsi="Times New Roman" w:cs="Times New Roman"/>
          <w:b/>
          <w:sz w:val="24"/>
          <w:szCs w:val="24"/>
        </w:rPr>
      </w:pPr>
    </w:p>
    <w:p w:rsidR="00506286" w:rsidRDefault="0042561D" w:rsidP="00CC25CF">
      <w:pPr>
        <w:pStyle w:val="NoSpacing"/>
        <w:spacing w:line="276" w:lineRule="auto"/>
        <w:ind w:firstLine="360"/>
        <w:rPr>
          <w:rFonts w:ascii="Times New Roman" w:hAnsi="Times New Roman" w:cs="Times New Roman"/>
          <w:sz w:val="24"/>
          <w:szCs w:val="24"/>
        </w:rPr>
      </w:pPr>
      <w:r>
        <w:rPr>
          <w:rFonts w:ascii="Times New Roman" w:eastAsia="Calibri" w:hAnsi="Times New Roman" w:cs="Times New Roman"/>
          <w:sz w:val="24"/>
          <w:szCs w:val="24"/>
        </w:rPr>
        <w:t xml:space="preserve">     </w:t>
      </w:r>
      <w:r w:rsidR="00506286" w:rsidRPr="00506286">
        <w:rPr>
          <w:rFonts w:ascii="Times New Roman" w:eastAsia="Calibri" w:hAnsi="Times New Roman" w:cs="Times New Roman"/>
          <w:sz w:val="24"/>
          <w:szCs w:val="24"/>
        </w:rPr>
        <w:t>2017 metais Joniškio rajono savivaldybėje veikė mokyklos, teikiančios ikimokyklinio, priešmokyklinio, pradinio, pagrindinio ir vidurinio ugdymo programas:</w:t>
      </w:r>
    </w:p>
    <w:p w:rsidR="00506286" w:rsidRDefault="00506286" w:rsidP="00CC25CF">
      <w:pPr>
        <w:pStyle w:val="NoSpacing"/>
        <w:numPr>
          <w:ilvl w:val="0"/>
          <w:numId w:val="8"/>
        </w:numPr>
        <w:spacing w:line="276" w:lineRule="auto"/>
        <w:rPr>
          <w:rFonts w:ascii="Times New Roman" w:hAnsi="Times New Roman" w:cs="Times New Roman"/>
          <w:sz w:val="24"/>
          <w:szCs w:val="24"/>
        </w:rPr>
      </w:pPr>
      <w:r w:rsidRPr="00506286">
        <w:rPr>
          <w:rFonts w:ascii="Times New Roman" w:eastAsia="Calibri" w:hAnsi="Times New Roman" w:cs="Times New Roman"/>
          <w:sz w:val="24"/>
          <w:szCs w:val="24"/>
        </w:rPr>
        <w:t xml:space="preserve">3 gimnazijos </w:t>
      </w:r>
    </w:p>
    <w:p w:rsidR="00506286" w:rsidRDefault="00506286" w:rsidP="00CC25CF">
      <w:pPr>
        <w:pStyle w:val="NoSpacing"/>
        <w:numPr>
          <w:ilvl w:val="0"/>
          <w:numId w:val="8"/>
        </w:numPr>
        <w:spacing w:line="276" w:lineRule="auto"/>
        <w:rPr>
          <w:rFonts w:ascii="Times New Roman" w:hAnsi="Times New Roman" w:cs="Times New Roman"/>
          <w:sz w:val="24"/>
          <w:szCs w:val="24"/>
        </w:rPr>
      </w:pPr>
      <w:r w:rsidRPr="00506286">
        <w:rPr>
          <w:rFonts w:ascii="Times New Roman" w:eastAsia="Calibri" w:hAnsi="Times New Roman" w:cs="Times New Roman"/>
          <w:sz w:val="24"/>
          <w:szCs w:val="24"/>
        </w:rPr>
        <w:t>1 progimnazija</w:t>
      </w:r>
    </w:p>
    <w:p w:rsidR="00506286" w:rsidRDefault="00506286" w:rsidP="00CC25CF">
      <w:pPr>
        <w:pStyle w:val="NoSpacing"/>
        <w:numPr>
          <w:ilvl w:val="0"/>
          <w:numId w:val="8"/>
        </w:numPr>
        <w:spacing w:line="276" w:lineRule="auto"/>
        <w:rPr>
          <w:rFonts w:ascii="Times New Roman" w:hAnsi="Times New Roman" w:cs="Times New Roman"/>
          <w:sz w:val="24"/>
          <w:szCs w:val="24"/>
        </w:rPr>
      </w:pPr>
      <w:r w:rsidRPr="00506286">
        <w:rPr>
          <w:rFonts w:ascii="Times New Roman" w:eastAsia="Calibri" w:hAnsi="Times New Roman" w:cs="Times New Roman"/>
          <w:sz w:val="24"/>
          <w:szCs w:val="24"/>
        </w:rPr>
        <w:t>4 pagrindinės mokyklos</w:t>
      </w:r>
    </w:p>
    <w:p w:rsidR="00506286" w:rsidRDefault="00506286" w:rsidP="00CC25CF">
      <w:pPr>
        <w:pStyle w:val="NoSpacing"/>
        <w:numPr>
          <w:ilvl w:val="0"/>
          <w:numId w:val="8"/>
        </w:numPr>
        <w:spacing w:line="276" w:lineRule="auto"/>
        <w:rPr>
          <w:rFonts w:ascii="Times New Roman" w:hAnsi="Times New Roman" w:cs="Times New Roman"/>
          <w:sz w:val="24"/>
          <w:szCs w:val="24"/>
        </w:rPr>
      </w:pPr>
      <w:r w:rsidRPr="00506286">
        <w:rPr>
          <w:rFonts w:ascii="Times New Roman" w:eastAsia="Calibri" w:hAnsi="Times New Roman" w:cs="Times New Roman"/>
          <w:sz w:val="24"/>
          <w:szCs w:val="24"/>
        </w:rPr>
        <w:t>1 specialioji mokykla</w:t>
      </w:r>
    </w:p>
    <w:p w:rsidR="00506286" w:rsidRDefault="00506286" w:rsidP="00CC25CF">
      <w:pPr>
        <w:pStyle w:val="NoSpacing"/>
        <w:numPr>
          <w:ilvl w:val="0"/>
          <w:numId w:val="8"/>
        </w:numPr>
        <w:spacing w:line="276" w:lineRule="auto"/>
        <w:rPr>
          <w:rFonts w:ascii="Times New Roman" w:hAnsi="Times New Roman" w:cs="Times New Roman"/>
          <w:sz w:val="24"/>
          <w:szCs w:val="24"/>
        </w:rPr>
      </w:pPr>
      <w:r w:rsidRPr="00506286">
        <w:rPr>
          <w:rFonts w:ascii="Times New Roman" w:eastAsia="Calibri" w:hAnsi="Times New Roman" w:cs="Times New Roman"/>
          <w:sz w:val="24"/>
          <w:szCs w:val="24"/>
        </w:rPr>
        <w:t>1 skyrius-</w:t>
      </w:r>
      <w:proofErr w:type="spellStart"/>
      <w:r w:rsidRPr="00506286">
        <w:rPr>
          <w:rFonts w:ascii="Times New Roman" w:eastAsia="Calibri" w:hAnsi="Times New Roman" w:cs="Times New Roman"/>
          <w:sz w:val="24"/>
          <w:szCs w:val="24"/>
        </w:rPr>
        <w:t>daugiafunkcis</w:t>
      </w:r>
      <w:proofErr w:type="spellEnd"/>
      <w:r w:rsidRPr="00506286">
        <w:rPr>
          <w:rFonts w:ascii="Times New Roman" w:eastAsia="Calibri" w:hAnsi="Times New Roman" w:cs="Times New Roman"/>
          <w:sz w:val="24"/>
          <w:szCs w:val="24"/>
        </w:rPr>
        <w:t xml:space="preserve"> centras</w:t>
      </w:r>
    </w:p>
    <w:p w:rsidR="00506286" w:rsidRDefault="00506286" w:rsidP="00CC25CF">
      <w:pPr>
        <w:pStyle w:val="NoSpacing"/>
        <w:numPr>
          <w:ilvl w:val="0"/>
          <w:numId w:val="8"/>
        </w:numPr>
        <w:spacing w:line="276" w:lineRule="auto"/>
        <w:rPr>
          <w:rFonts w:ascii="Times New Roman" w:hAnsi="Times New Roman" w:cs="Times New Roman"/>
          <w:sz w:val="24"/>
          <w:szCs w:val="24"/>
        </w:rPr>
      </w:pPr>
      <w:r w:rsidRPr="00506286">
        <w:rPr>
          <w:rFonts w:ascii="Times New Roman" w:eastAsia="Calibri" w:hAnsi="Times New Roman" w:cs="Times New Roman"/>
          <w:sz w:val="24"/>
          <w:szCs w:val="24"/>
        </w:rPr>
        <w:t>1 Specialiojo ugdymo skyrius</w:t>
      </w:r>
    </w:p>
    <w:p w:rsidR="00506286" w:rsidRDefault="00506286" w:rsidP="00CC25CF">
      <w:pPr>
        <w:pStyle w:val="NoSpacing"/>
        <w:numPr>
          <w:ilvl w:val="0"/>
          <w:numId w:val="8"/>
        </w:numPr>
        <w:spacing w:line="276" w:lineRule="auto"/>
        <w:rPr>
          <w:rFonts w:ascii="Times New Roman" w:hAnsi="Times New Roman" w:cs="Times New Roman"/>
          <w:sz w:val="24"/>
          <w:szCs w:val="24"/>
        </w:rPr>
      </w:pPr>
      <w:r w:rsidRPr="00506286">
        <w:rPr>
          <w:rFonts w:ascii="Times New Roman" w:eastAsia="Calibri" w:hAnsi="Times New Roman" w:cs="Times New Roman"/>
          <w:sz w:val="24"/>
          <w:szCs w:val="24"/>
        </w:rPr>
        <w:t>1 Suaugusiųjų mokymo skyrius</w:t>
      </w:r>
    </w:p>
    <w:p w:rsidR="00506286" w:rsidRDefault="00506286" w:rsidP="00CC25CF">
      <w:pPr>
        <w:pStyle w:val="NoSpacing"/>
        <w:numPr>
          <w:ilvl w:val="0"/>
          <w:numId w:val="8"/>
        </w:numPr>
        <w:spacing w:line="276" w:lineRule="auto"/>
        <w:rPr>
          <w:rFonts w:ascii="Times New Roman" w:hAnsi="Times New Roman" w:cs="Times New Roman"/>
          <w:sz w:val="24"/>
          <w:szCs w:val="24"/>
        </w:rPr>
      </w:pPr>
      <w:r w:rsidRPr="00506286">
        <w:rPr>
          <w:rFonts w:ascii="Times New Roman" w:eastAsia="Calibri" w:hAnsi="Times New Roman" w:cs="Times New Roman"/>
          <w:sz w:val="24"/>
          <w:szCs w:val="24"/>
        </w:rPr>
        <w:t>4 ikimokyklinės įstaigos</w:t>
      </w:r>
    </w:p>
    <w:p w:rsidR="00506286" w:rsidRDefault="00506286" w:rsidP="00CC25CF">
      <w:pPr>
        <w:pStyle w:val="NoSpacing"/>
        <w:numPr>
          <w:ilvl w:val="0"/>
          <w:numId w:val="8"/>
        </w:numPr>
        <w:spacing w:line="276" w:lineRule="auto"/>
        <w:rPr>
          <w:rFonts w:ascii="Times New Roman" w:hAnsi="Times New Roman" w:cs="Times New Roman"/>
          <w:sz w:val="24"/>
          <w:szCs w:val="24"/>
        </w:rPr>
      </w:pPr>
      <w:r w:rsidRPr="00506286">
        <w:rPr>
          <w:rFonts w:ascii="Times New Roman" w:eastAsia="Calibri" w:hAnsi="Times New Roman" w:cs="Times New Roman"/>
          <w:sz w:val="24"/>
          <w:szCs w:val="24"/>
        </w:rPr>
        <w:t>4 ikimokyklinio ugdymo skyriai</w:t>
      </w:r>
    </w:p>
    <w:p w:rsidR="00506286" w:rsidRDefault="00506286" w:rsidP="00CC25CF">
      <w:pPr>
        <w:pStyle w:val="NoSpacing"/>
        <w:numPr>
          <w:ilvl w:val="0"/>
          <w:numId w:val="8"/>
        </w:numPr>
        <w:spacing w:line="276" w:lineRule="auto"/>
        <w:rPr>
          <w:rFonts w:ascii="Times New Roman" w:hAnsi="Times New Roman" w:cs="Times New Roman"/>
          <w:sz w:val="24"/>
          <w:szCs w:val="24"/>
        </w:rPr>
      </w:pPr>
      <w:r w:rsidRPr="00506286">
        <w:rPr>
          <w:rFonts w:ascii="Times New Roman" w:eastAsia="Calibri" w:hAnsi="Times New Roman" w:cs="Times New Roman"/>
          <w:sz w:val="24"/>
          <w:szCs w:val="24"/>
        </w:rPr>
        <w:t>2 neformaliojo ugdymo įstaigos (Sporto centras ir Joniškio Algimanto Raudonikio meno mokykla su Žagarės filialu ir Atviru jaunimo centru)</w:t>
      </w:r>
    </w:p>
    <w:p w:rsidR="00506286" w:rsidRDefault="00506286" w:rsidP="00CC25CF">
      <w:pPr>
        <w:pStyle w:val="NoSpacing"/>
        <w:numPr>
          <w:ilvl w:val="0"/>
          <w:numId w:val="8"/>
        </w:numPr>
        <w:spacing w:line="276" w:lineRule="auto"/>
        <w:rPr>
          <w:rFonts w:ascii="Times New Roman" w:hAnsi="Times New Roman" w:cs="Times New Roman"/>
          <w:sz w:val="24"/>
          <w:szCs w:val="24"/>
        </w:rPr>
      </w:pPr>
      <w:r w:rsidRPr="00506286">
        <w:rPr>
          <w:rFonts w:ascii="Times New Roman" w:eastAsia="Calibri" w:hAnsi="Times New Roman" w:cs="Times New Roman"/>
          <w:sz w:val="24"/>
          <w:szCs w:val="24"/>
        </w:rPr>
        <w:t xml:space="preserve">1 Švietimo centras su pedagogine psichologine tarnyba </w:t>
      </w:r>
    </w:p>
    <w:p w:rsidR="00506286" w:rsidRDefault="00506286" w:rsidP="00CC25CF">
      <w:pPr>
        <w:pStyle w:val="NoSpacing"/>
        <w:numPr>
          <w:ilvl w:val="0"/>
          <w:numId w:val="8"/>
        </w:numPr>
        <w:spacing w:line="276" w:lineRule="auto"/>
        <w:rPr>
          <w:rFonts w:ascii="Times New Roman" w:hAnsi="Times New Roman" w:cs="Times New Roman"/>
          <w:sz w:val="24"/>
          <w:szCs w:val="24"/>
        </w:rPr>
      </w:pPr>
      <w:r w:rsidRPr="00506286">
        <w:rPr>
          <w:rFonts w:ascii="Times New Roman" w:eastAsia="Calibri" w:hAnsi="Times New Roman" w:cs="Times New Roman"/>
          <w:sz w:val="24"/>
          <w:szCs w:val="24"/>
        </w:rPr>
        <w:t>1 viešoji įstaiga, vykdanti ikimokyklinio ugdymo programą.</w:t>
      </w:r>
    </w:p>
    <w:p w:rsidR="0042561D" w:rsidRDefault="0042561D" w:rsidP="00CC25CF">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 xml:space="preserve">  </w:t>
      </w:r>
    </w:p>
    <w:p w:rsidR="00CC25CF" w:rsidRPr="000746C7" w:rsidRDefault="0042561D" w:rsidP="00CC25CF">
      <w:pPr>
        <w:pStyle w:val="NoSpacing"/>
        <w:spacing w:line="276" w:lineRule="auto"/>
        <w:ind w:firstLine="360"/>
        <w:rPr>
          <w:rFonts w:ascii="Times New Roman" w:eastAsia="Calibri" w:hAnsi="Times New Roman" w:cs="Times New Roman"/>
          <w:sz w:val="24"/>
          <w:szCs w:val="24"/>
        </w:rPr>
      </w:pPr>
      <w:r>
        <w:rPr>
          <w:rFonts w:ascii="Times New Roman" w:hAnsi="Times New Roman" w:cs="Times New Roman"/>
          <w:sz w:val="24"/>
          <w:szCs w:val="24"/>
        </w:rPr>
        <w:t xml:space="preserve">   </w:t>
      </w:r>
      <w:r w:rsidR="00F01208" w:rsidRPr="000746C7">
        <w:rPr>
          <w:rFonts w:ascii="Times New Roman" w:hAnsi="Times New Roman" w:cs="Times New Roman"/>
          <w:sz w:val="24"/>
          <w:szCs w:val="24"/>
        </w:rPr>
        <w:t>Joniškio rajono savivaldybės taryba 20</w:t>
      </w:r>
      <w:r w:rsidR="00D3047C">
        <w:rPr>
          <w:rFonts w:ascii="Times New Roman" w:hAnsi="Times New Roman" w:cs="Times New Roman"/>
          <w:sz w:val="24"/>
          <w:szCs w:val="24"/>
        </w:rPr>
        <w:t>16 m. kovo 31 d.</w:t>
      </w:r>
      <w:r w:rsidR="00F01208" w:rsidRPr="000746C7">
        <w:rPr>
          <w:rFonts w:ascii="Times New Roman" w:hAnsi="Times New Roman" w:cs="Times New Roman"/>
          <w:sz w:val="24"/>
          <w:szCs w:val="24"/>
        </w:rPr>
        <w:t xml:space="preserve"> sprendimu Nr. T- </w:t>
      </w:r>
      <w:r w:rsidR="00D3047C">
        <w:rPr>
          <w:rFonts w:ascii="Times New Roman" w:hAnsi="Times New Roman" w:cs="Times New Roman"/>
          <w:sz w:val="24"/>
          <w:szCs w:val="24"/>
        </w:rPr>
        <w:t xml:space="preserve">54 </w:t>
      </w:r>
      <w:r w:rsidR="00F01208" w:rsidRPr="000746C7">
        <w:rPr>
          <w:rFonts w:ascii="Times New Roman" w:hAnsi="Times New Roman" w:cs="Times New Roman"/>
          <w:sz w:val="24"/>
          <w:szCs w:val="24"/>
        </w:rPr>
        <w:t>patvirtino Bendrojo ugdymo mokyklų tinklo pertvarkos 20</w:t>
      </w:r>
      <w:r w:rsidR="00D3047C">
        <w:rPr>
          <w:rFonts w:ascii="Times New Roman" w:hAnsi="Times New Roman" w:cs="Times New Roman"/>
          <w:sz w:val="24"/>
          <w:szCs w:val="24"/>
        </w:rPr>
        <w:t>16–</w:t>
      </w:r>
      <w:r w:rsidR="00F01208" w:rsidRPr="000746C7">
        <w:rPr>
          <w:rFonts w:ascii="Times New Roman" w:hAnsi="Times New Roman" w:cs="Times New Roman"/>
          <w:sz w:val="24"/>
          <w:szCs w:val="24"/>
        </w:rPr>
        <w:t>20</w:t>
      </w:r>
      <w:r w:rsidR="00D3047C">
        <w:rPr>
          <w:rFonts w:ascii="Times New Roman" w:hAnsi="Times New Roman" w:cs="Times New Roman"/>
          <w:sz w:val="24"/>
          <w:szCs w:val="24"/>
        </w:rPr>
        <w:t>20 bendrąjį planą</w:t>
      </w:r>
      <w:r w:rsidR="00F01208" w:rsidRPr="000746C7">
        <w:rPr>
          <w:rFonts w:ascii="Times New Roman" w:hAnsi="Times New Roman" w:cs="Times New Roman"/>
          <w:sz w:val="24"/>
          <w:szCs w:val="24"/>
        </w:rPr>
        <w:t>.</w:t>
      </w:r>
      <w:r w:rsidR="00077001" w:rsidRPr="000746C7">
        <w:rPr>
          <w:rFonts w:ascii="Times New Roman" w:hAnsi="Times New Roman" w:cs="Times New Roman"/>
          <w:sz w:val="24"/>
          <w:szCs w:val="24"/>
        </w:rPr>
        <w:t xml:space="preserve"> Joniškio rajono s</w:t>
      </w:r>
      <w:r w:rsidR="00077001" w:rsidRPr="000746C7">
        <w:rPr>
          <w:rFonts w:ascii="Times New Roman" w:eastAsia="Calibri" w:hAnsi="Times New Roman" w:cs="Times New Roman"/>
          <w:sz w:val="24"/>
          <w:szCs w:val="24"/>
        </w:rPr>
        <w:t>avivaldybės bendrojo ugdymo mokyklų tinklo pertvarkos 2016–2020 metų bendrasis planas yra skirtas mokymo ir mokymosi kokybei mokyklose gerinti, švietimo prieinamumui užtikrinti skirtingo amžiaus ir socialinių grupių asmenims pagal bendrojo ugdymo mokyklų ir neformaliojo švietimo programas, didinti mokyklų ekonomiškumą, laiduoti sveiką mokymosi aplinką ir saugų kelią į mokyklą. </w:t>
      </w:r>
    </w:p>
    <w:p w:rsidR="00093F7A" w:rsidRDefault="0042561D" w:rsidP="00CC25CF">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93F7A">
        <w:rPr>
          <w:rFonts w:ascii="Times New Roman" w:hAnsi="Times New Roman" w:cs="Times New Roman"/>
          <w:sz w:val="24"/>
          <w:szCs w:val="24"/>
        </w:rPr>
        <w:t>Siekiant efektyvaus ir kokybiško ugdymo, 2017 metais reorganizuota Plikiškių mokykla-</w:t>
      </w:r>
      <w:proofErr w:type="spellStart"/>
      <w:r w:rsidR="00093F7A">
        <w:rPr>
          <w:rFonts w:ascii="Times New Roman" w:hAnsi="Times New Roman" w:cs="Times New Roman"/>
          <w:sz w:val="24"/>
          <w:szCs w:val="24"/>
        </w:rPr>
        <w:t>daugiafunkcis</w:t>
      </w:r>
      <w:proofErr w:type="spellEnd"/>
      <w:r w:rsidR="00093F7A">
        <w:rPr>
          <w:rFonts w:ascii="Times New Roman" w:hAnsi="Times New Roman" w:cs="Times New Roman"/>
          <w:sz w:val="24"/>
          <w:szCs w:val="24"/>
        </w:rPr>
        <w:t xml:space="preserve"> centras, kuris tapo Joniškio ,,Saulės“ pagrindinės mokyklos skyriumi. Taip pat likviduota Joniškio jaunimo ir suaugusiųjų mokykla, </w:t>
      </w:r>
      <w:r w:rsidR="001A4D90">
        <w:rPr>
          <w:rFonts w:ascii="Times New Roman" w:hAnsi="Times New Roman" w:cs="Times New Roman"/>
          <w:sz w:val="24"/>
          <w:szCs w:val="24"/>
        </w:rPr>
        <w:t>s</w:t>
      </w:r>
      <w:r w:rsidR="00093F7A">
        <w:rPr>
          <w:rFonts w:ascii="Times New Roman" w:hAnsi="Times New Roman" w:cs="Times New Roman"/>
          <w:sz w:val="24"/>
          <w:szCs w:val="24"/>
        </w:rPr>
        <w:t xml:space="preserve">uaugusiųjų skyrius įsteigtas Joniškio ,,Aušros“ gimnazijoje. </w:t>
      </w:r>
      <w:r w:rsidR="00A017C2">
        <w:rPr>
          <w:rFonts w:ascii="Times New Roman" w:hAnsi="Times New Roman" w:cs="Times New Roman"/>
          <w:sz w:val="24"/>
          <w:szCs w:val="24"/>
        </w:rPr>
        <w:t xml:space="preserve">Reorganizuota Joniškio r. </w:t>
      </w:r>
      <w:proofErr w:type="spellStart"/>
      <w:r w:rsidR="00A017C2">
        <w:rPr>
          <w:rFonts w:ascii="Times New Roman" w:hAnsi="Times New Roman" w:cs="Times New Roman"/>
          <w:sz w:val="24"/>
          <w:szCs w:val="24"/>
        </w:rPr>
        <w:t>Mindaugių</w:t>
      </w:r>
      <w:proofErr w:type="spellEnd"/>
      <w:r w:rsidR="00A017C2">
        <w:rPr>
          <w:rFonts w:ascii="Times New Roman" w:hAnsi="Times New Roman" w:cs="Times New Roman"/>
          <w:sz w:val="24"/>
          <w:szCs w:val="24"/>
        </w:rPr>
        <w:t xml:space="preserve"> pagrindinė mokykla. </w:t>
      </w:r>
    </w:p>
    <w:p w:rsidR="0082166C" w:rsidRDefault="0082166C" w:rsidP="00CC25CF">
      <w:pPr>
        <w:pStyle w:val="NoSpacing"/>
        <w:spacing w:line="276" w:lineRule="auto"/>
        <w:ind w:firstLine="360"/>
        <w:rPr>
          <w:rFonts w:ascii="Times New Roman" w:hAnsi="Times New Roman" w:cs="Times New Roman"/>
          <w:sz w:val="24"/>
          <w:szCs w:val="24"/>
        </w:rPr>
      </w:pPr>
    </w:p>
    <w:p w:rsidR="00F01208" w:rsidRPr="00F01208" w:rsidRDefault="00F01208" w:rsidP="0042561D">
      <w:pPr>
        <w:pStyle w:val="NoSpacing"/>
        <w:spacing w:line="276" w:lineRule="auto"/>
        <w:rPr>
          <w:rFonts w:ascii="Times New Roman" w:eastAsia="Calibri" w:hAnsi="Times New Roman" w:cs="Times New Roman"/>
          <w:b/>
          <w:sz w:val="24"/>
          <w:szCs w:val="24"/>
        </w:rPr>
      </w:pPr>
      <w:r w:rsidRPr="00F01208">
        <w:rPr>
          <w:rFonts w:ascii="Times New Roman" w:hAnsi="Times New Roman" w:cs="Times New Roman"/>
          <w:b/>
          <w:sz w:val="24"/>
          <w:szCs w:val="24"/>
        </w:rPr>
        <w:t xml:space="preserve">Išvada. Joniškio rajono savivaldybės bendrojo ugdymo mokyklų tinklas suformuotas remiantis Lietuvos Respublikos Vyriausybės 2011 m. birželio 29 d. nutarimu Nr. 768 patvirtintomis Mokyklų, vykdančių formaliojo švietimo programas, tinklo kūrimo taisyklėmis (padaryta pažanga). </w:t>
      </w:r>
    </w:p>
    <w:p w:rsidR="00CC25CF" w:rsidRDefault="00CC25CF" w:rsidP="00CC25CF">
      <w:pPr>
        <w:pStyle w:val="NoSpacing"/>
        <w:spacing w:line="276" w:lineRule="auto"/>
        <w:rPr>
          <w:rFonts w:ascii="Times New Roman" w:eastAsia="Calibri" w:hAnsi="Times New Roman" w:cs="Times New Roman"/>
          <w:sz w:val="24"/>
          <w:szCs w:val="24"/>
        </w:rPr>
      </w:pPr>
    </w:p>
    <w:p w:rsidR="00CC25CF" w:rsidRDefault="00CC25CF" w:rsidP="00CC25CF">
      <w:pPr>
        <w:pStyle w:val="NoSpacing"/>
        <w:spacing w:line="276" w:lineRule="auto"/>
        <w:rPr>
          <w:rFonts w:ascii="Times New Roman" w:eastAsia="Calibri" w:hAnsi="Times New Roman" w:cs="Times New Roman"/>
          <w:b/>
          <w:sz w:val="24"/>
          <w:szCs w:val="24"/>
        </w:rPr>
      </w:pPr>
      <w:r w:rsidRPr="00CC25CF">
        <w:rPr>
          <w:rFonts w:ascii="Times New Roman" w:eastAsia="Calibri" w:hAnsi="Times New Roman" w:cs="Times New Roman"/>
          <w:b/>
          <w:sz w:val="24"/>
          <w:szCs w:val="24"/>
        </w:rPr>
        <w:t>Ugdytinių skaičius ugdymo įstaigose</w:t>
      </w:r>
    </w:p>
    <w:p w:rsidR="0082166C" w:rsidRPr="00CC25CF" w:rsidRDefault="0082166C" w:rsidP="00CC25CF">
      <w:pPr>
        <w:pStyle w:val="NoSpacing"/>
        <w:spacing w:line="276" w:lineRule="auto"/>
        <w:rPr>
          <w:rFonts w:ascii="Times New Roman" w:eastAsia="Calibri" w:hAnsi="Times New Roman" w:cs="Times New Roman"/>
          <w:b/>
          <w:sz w:val="24"/>
          <w:szCs w:val="24"/>
        </w:rPr>
      </w:pPr>
    </w:p>
    <w:p w:rsidR="00CC25CF" w:rsidRDefault="00CC25CF" w:rsidP="00CC25CF">
      <w:pPr>
        <w:pStyle w:val="Header"/>
        <w:tabs>
          <w:tab w:val="right" w:pos="0"/>
        </w:tabs>
        <w:spacing w:line="276" w:lineRule="auto"/>
        <w:ind w:firstLine="748"/>
      </w:pPr>
      <w:r w:rsidRPr="00B142B9">
        <w:t xml:space="preserve">Besikeičianti demografinė padėtis rajone, šalies vidaus ir išorės migracija,  ikimokyklinio amžiaus vaikų ir mokinių skaičiaus kaita, </w:t>
      </w:r>
      <w:r>
        <w:t>turi įtakos</w:t>
      </w:r>
      <w:r w:rsidRPr="00B142B9">
        <w:t xml:space="preserve"> ir klasių komplektų skaičiui bendrojo ugdymo mokyklose. </w:t>
      </w:r>
    </w:p>
    <w:p w:rsidR="00CC25CF" w:rsidRPr="00944EC9" w:rsidRDefault="00CC25CF" w:rsidP="00CC25CF">
      <w:pPr>
        <w:pStyle w:val="NormalWeb"/>
        <w:spacing w:line="276" w:lineRule="auto"/>
        <w:ind w:firstLine="720"/>
      </w:pPr>
      <w:r w:rsidRPr="00944EC9">
        <w:t>2017 m. rugsėjo 1 d, rajone mokėsi 2352 mokiniai</w:t>
      </w:r>
      <w:r>
        <w:t>,</w:t>
      </w:r>
      <w:r w:rsidRPr="00944EC9">
        <w:t xml:space="preserve"> iš jų 55 priešmokyklinio ugdymo grupėse, 34 suaugusieji (33 - „Aušros“ gimnazijos Suaugusiųjų mokymo skyriuje, 1 - M. </w:t>
      </w:r>
      <w:proofErr w:type="spellStart"/>
      <w:r w:rsidRPr="00944EC9">
        <w:t>Slančiausko</w:t>
      </w:r>
      <w:proofErr w:type="spellEnd"/>
      <w:r w:rsidRPr="00944EC9">
        <w:t xml:space="preserve"> progimnazijoje). </w:t>
      </w:r>
    </w:p>
    <w:p w:rsidR="00CC25CF" w:rsidRDefault="00CC25CF" w:rsidP="00CC25CF">
      <w:pPr>
        <w:pStyle w:val="NormalWeb"/>
        <w:spacing w:line="276" w:lineRule="auto"/>
        <w:ind w:firstLine="709"/>
      </w:pPr>
      <w:r w:rsidRPr="00944EC9">
        <w:t xml:space="preserve">Ikimokyklines įstaigas lankė 572 vaikai. Iš jų: priešmokyklinio ugdymo grupėse –122. </w:t>
      </w:r>
      <w:r w:rsidRPr="00944EC9">
        <w:br/>
        <w:t>Ikimokyklinio ugdymo skyrius lankė 114 vaikų. Neformaliojo ugdymo įstaigose buvo ugdomi 755 moksleiviai: Sporto centre – 375 moksleiviai,</w:t>
      </w:r>
      <w:r>
        <w:t xml:space="preserve"> Joniškio Algimanto Raudonikio meno</w:t>
      </w:r>
      <w:r w:rsidRPr="00944EC9">
        <w:t xml:space="preserve"> mokykloje – 380.</w:t>
      </w:r>
      <w:r>
        <w:t xml:space="preserve"> Žemiau esančioje diagramoje pateikiamas mokinių skaičiaus kitimas per paskutinius penkerius metus:</w:t>
      </w:r>
    </w:p>
    <w:p w:rsidR="00CC25CF" w:rsidRDefault="00CC25CF" w:rsidP="00CC25CF">
      <w:pPr>
        <w:pStyle w:val="NormalWeb"/>
        <w:spacing w:line="276" w:lineRule="auto"/>
        <w:ind w:firstLine="709"/>
      </w:pPr>
      <w:r>
        <w:t xml:space="preserve"> </w:t>
      </w:r>
    </w:p>
    <w:p w:rsidR="00CC25CF" w:rsidRPr="00944EC9" w:rsidRDefault="00CC25CF" w:rsidP="00CC25CF">
      <w:pPr>
        <w:pStyle w:val="NormalWeb"/>
        <w:spacing w:line="276" w:lineRule="auto"/>
        <w:ind w:firstLine="709"/>
      </w:pPr>
      <w:r>
        <w:rPr>
          <w:noProof/>
        </w:rPr>
        <w:drawing>
          <wp:inline distT="0" distB="0" distL="0" distR="0">
            <wp:extent cx="5075576" cy="2443029"/>
            <wp:effectExtent l="13533" t="4896" r="6766" b="0"/>
            <wp:docPr id="1"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2166C" w:rsidRDefault="0082166C" w:rsidP="0082166C">
      <w:pPr>
        <w:pStyle w:val="Default"/>
        <w:spacing w:line="276" w:lineRule="auto"/>
        <w:rPr>
          <w:rFonts w:eastAsiaTheme="minorHAnsi"/>
          <w:b/>
          <w:lang w:eastAsia="en-US"/>
        </w:rPr>
      </w:pPr>
    </w:p>
    <w:p w:rsidR="00365061" w:rsidRDefault="00365061" w:rsidP="0082166C">
      <w:pPr>
        <w:pStyle w:val="Default"/>
        <w:spacing w:line="276" w:lineRule="auto"/>
        <w:rPr>
          <w:b/>
        </w:rPr>
      </w:pPr>
      <w:r w:rsidRPr="00365061">
        <w:rPr>
          <w:b/>
        </w:rPr>
        <w:t>Ikimokyklinis ir priešmokyklinis ugdymas</w:t>
      </w:r>
    </w:p>
    <w:p w:rsidR="0082166C" w:rsidRPr="00365061" w:rsidRDefault="0082166C" w:rsidP="0082166C">
      <w:pPr>
        <w:pStyle w:val="Default"/>
        <w:spacing w:line="276" w:lineRule="auto"/>
        <w:rPr>
          <w:b/>
        </w:rPr>
      </w:pPr>
    </w:p>
    <w:p w:rsidR="00365061" w:rsidRDefault="00365061" w:rsidP="00365061">
      <w:pPr>
        <w:ind w:firstLine="709"/>
        <w:jc w:val="both"/>
        <w:rPr>
          <w:rFonts w:ascii="Times New Roman" w:hAnsi="Times New Roman" w:cs="Times New Roman"/>
          <w:sz w:val="24"/>
          <w:szCs w:val="24"/>
        </w:rPr>
      </w:pPr>
      <w:r w:rsidRPr="00365061">
        <w:rPr>
          <w:rFonts w:ascii="Times New Roman" w:hAnsi="Times New Roman" w:cs="Times New Roman"/>
          <w:sz w:val="24"/>
          <w:szCs w:val="24"/>
        </w:rPr>
        <w:t xml:space="preserve">Ikimokykliniame ir priešmokykliniame ugdyme dalyvaujančių vaikų skaičiaus pokytis per 8 metus parodytas diagramoje. Iš viso priešmokyklines grupes pernai lankė 177 vaikai, ikimokyklinio – 599.  </w:t>
      </w:r>
    </w:p>
    <w:p w:rsidR="00365061" w:rsidRPr="00365061" w:rsidRDefault="00365061" w:rsidP="00365061">
      <w:pPr>
        <w:ind w:firstLine="709"/>
        <w:jc w:val="both"/>
        <w:rPr>
          <w:rFonts w:ascii="Times New Roman" w:hAnsi="Times New Roman" w:cs="Times New Roman"/>
          <w:sz w:val="24"/>
          <w:szCs w:val="24"/>
        </w:rPr>
      </w:pPr>
      <w:r>
        <w:rPr>
          <w:noProof/>
          <w:lang w:eastAsia="lt-LT"/>
        </w:rPr>
        <w:lastRenderedPageBreak/>
        <w:drawing>
          <wp:inline distT="0" distB="0" distL="0" distR="0">
            <wp:extent cx="4569339" cy="2740545"/>
            <wp:effectExtent l="6093" t="6090" r="6093" b="6090"/>
            <wp:docPr id="4"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752A4" w:rsidRPr="00D752A4" w:rsidRDefault="00D752A4" w:rsidP="00D752A4">
      <w:pPr>
        <w:ind w:firstLine="720"/>
        <w:rPr>
          <w:rFonts w:ascii="Times New Roman" w:hAnsi="Times New Roman" w:cs="Times New Roman"/>
          <w:sz w:val="24"/>
          <w:szCs w:val="24"/>
        </w:rPr>
      </w:pPr>
      <w:r w:rsidRPr="00D752A4">
        <w:rPr>
          <w:rFonts w:ascii="Times New Roman" w:hAnsi="Times New Roman" w:cs="Times New Roman"/>
          <w:sz w:val="24"/>
          <w:szCs w:val="24"/>
        </w:rPr>
        <w:t>Informacija apie rajono mokyklų vidutinį mokinių skaičių klasėje 2015 m., 2016 m. ir 2017 m. rugsėjo 1 d. parodyta žemiau esančiame paveiksle.</w:t>
      </w:r>
    </w:p>
    <w:p w:rsidR="00D752A4" w:rsidRDefault="00D752A4" w:rsidP="00CC25CF">
      <w:pPr>
        <w:ind w:firstLine="720"/>
        <w:rPr>
          <w:rFonts w:ascii="Times New Roman" w:hAnsi="Times New Roman" w:cs="Times New Roman"/>
          <w:b/>
          <w:color w:val="000000"/>
          <w:sz w:val="24"/>
          <w:szCs w:val="24"/>
        </w:rPr>
      </w:pPr>
      <w:r>
        <w:rPr>
          <w:noProof/>
          <w:sz w:val="24"/>
          <w:szCs w:val="24"/>
          <w:lang w:eastAsia="lt-LT"/>
        </w:rPr>
        <w:drawing>
          <wp:inline distT="0" distB="0" distL="0" distR="0">
            <wp:extent cx="5770337" cy="4548756"/>
            <wp:effectExtent l="12578" t="6099" r="5110" b="0"/>
            <wp:docPr id="3"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752A4" w:rsidRDefault="00D752A4" w:rsidP="00CC25CF">
      <w:pPr>
        <w:ind w:firstLine="720"/>
        <w:rPr>
          <w:rFonts w:ascii="Times New Roman" w:hAnsi="Times New Roman" w:cs="Times New Roman"/>
          <w:b/>
          <w:color w:val="000000"/>
          <w:sz w:val="24"/>
          <w:szCs w:val="24"/>
        </w:rPr>
      </w:pPr>
    </w:p>
    <w:p w:rsidR="00D752A4" w:rsidRDefault="00D752A4" w:rsidP="00CC25CF">
      <w:pPr>
        <w:ind w:firstLine="720"/>
        <w:rPr>
          <w:rFonts w:ascii="Times New Roman" w:hAnsi="Times New Roman" w:cs="Times New Roman"/>
          <w:b/>
          <w:color w:val="000000"/>
          <w:sz w:val="24"/>
          <w:szCs w:val="24"/>
        </w:rPr>
      </w:pPr>
    </w:p>
    <w:p w:rsidR="00CC25CF" w:rsidRPr="00365061" w:rsidRDefault="00365061" w:rsidP="0042561D">
      <w:pPr>
        <w:ind w:firstLine="720"/>
        <w:rPr>
          <w:rFonts w:ascii="Times New Roman" w:hAnsi="Times New Roman" w:cs="Times New Roman"/>
          <w:b/>
          <w:sz w:val="24"/>
        </w:rPr>
      </w:pPr>
      <w:r>
        <w:rPr>
          <w:rFonts w:ascii="Times New Roman" w:hAnsi="Times New Roman" w:cs="Times New Roman"/>
          <w:b/>
          <w:color w:val="000000"/>
          <w:sz w:val="24"/>
          <w:szCs w:val="24"/>
        </w:rPr>
        <w:lastRenderedPageBreak/>
        <w:t>I</w:t>
      </w:r>
      <w:r w:rsidR="00CC25CF" w:rsidRPr="00CC25CF">
        <w:rPr>
          <w:rFonts w:ascii="Times New Roman" w:hAnsi="Times New Roman" w:cs="Times New Roman"/>
          <w:b/>
          <w:color w:val="000000"/>
          <w:sz w:val="24"/>
          <w:szCs w:val="24"/>
        </w:rPr>
        <w:t>švada:</w:t>
      </w:r>
      <w:r w:rsidR="00CC25CF" w:rsidRPr="00CC25CF">
        <w:rPr>
          <w:rFonts w:ascii="Times New Roman" w:hAnsi="Times New Roman" w:cs="Times New Roman"/>
          <w:color w:val="000000"/>
          <w:sz w:val="24"/>
          <w:szCs w:val="24"/>
        </w:rPr>
        <w:t xml:space="preserve"> </w:t>
      </w:r>
      <w:r w:rsidR="00CC25CF" w:rsidRPr="00365061">
        <w:rPr>
          <w:rFonts w:ascii="Times New Roman" w:hAnsi="Times New Roman" w:cs="Times New Roman"/>
          <w:b/>
          <w:color w:val="000000"/>
          <w:sz w:val="24"/>
          <w:szCs w:val="24"/>
        </w:rPr>
        <w:t>Mokinių skaičius savivaldybės mokyklose kasmet mažėja.</w:t>
      </w:r>
      <w:r w:rsidR="00CC25CF" w:rsidRPr="00365061">
        <w:rPr>
          <w:rFonts w:ascii="Times New Roman" w:hAnsi="Times New Roman" w:cs="Times New Roman"/>
          <w:b/>
          <w:sz w:val="24"/>
        </w:rPr>
        <w:t xml:space="preserve"> Per penkerius metus rajone sumažėjo 721  mokiniu (23,5 %.). Per vienerius mokslo metus sumažėjo 225 mokiniais arba 9, 9 % (pernai per metus mokinių mažėjo 4,9 %).</w:t>
      </w:r>
      <w:r w:rsidRPr="00365061">
        <w:rPr>
          <w:rFonts w:ascii="Times New Roman" w:hAnsi="Times New Roman" w:cs="Times New Roman"/>
          <w:b/>
          <w:sz w:val="24"/>
        </w:rPr>
        <w:t xml:space="preserve"> Ikimokykliniame ir mokykliniame ugdyme dalyvaujančių mokinių skaičius didėja (daroma pažanga). </w:t>
      </w:r>
      <w:r w:rsidR="00013FEE">
        <w:rPr>
          <w:rFonts w:ascii="Times New Roman" w:hAnsi="Times New Roman" w:cs="Times New Roman"/>
          <w:b/>
          <w:sz w:val="24"/>
        </w:rPr>
        <w:t xml:space="preserve">Vidutinis mokinių skaičius klasėse rajone mažėja, nors lyginant atskirų mokyklų vidutinį mokinių skaičių klasėse matyti, jog kai kuriose mokyklose keičiasi nežymiai. </w:t>
      </w:r>
    </w:p>
    <w:p w:rsidR="00CC25CF" w:rsidRPr="00365061" w:rsidRDefault="00365061" w:rsidP="0042561D">
      <w:pPr>
        <w:rPr>
          <w:rFonts w:ascii="Times New Roman" w:hAnsi="Times New Roman" w:cs="Times New Roman"/>
          <w:b/>
          <w:color w:val="000000"/>
          <w:sz w:val="24"/>
          <w:szCs w:val="24"/>
        </w:rPr>
      </w:pPr>
      <w:r w:rsidRPr="00365061">
        <w:rPr>
          <w:rFonts w:ascii="Times New Roman" w:hAnsi="Times New Roman" w:cs="Times New Roman"/>
          <w:b/>
          <w:color w:val="000000"/>
          <w:sz w:val="24"/>
          <w:szCs w:val="24"/>
        </w:rPr>
        <w:t>Mokytojų kvalifikacija</w:t>
      </w:r>
    </w:p>
    <w:p w:rsidR="00365061" w:rsidRDefault="00365061" w:rsidP="0042561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365061">
        <w:rPr>
          <w:rFonts w:ascii="Times New Roman" w:hAnsi="Times New Roman" w:cs="Times New Roman"/>
          <w:sz w:val="24"/>
          <w:szCs w:val="24"/>
        </w:rPr>
        <w:t>Joniškio rajono savivaldybės bendrojo ugdymo įstaigose 2017 m. rugsėjo 1 d. duomenimis  dirbo 414 pedagogų. Iš jų: bendrojo ugdymo mokyklose –  299, sporto centre – 12 (su dirbančiais antraeilėse pareigose - 20), Joniškio Algimanto Raudonikio meno mokykloje –  29 (su dirbančiais antraeilėse pareigose - 31), darželiuose – 74 (su dirbančiais antraeilėse pareigose - 80).</w:t>
      </w:r>
      <w:r>
        <w:rPr>
          <w:rFonts w:ascii="Times New Roman" w:hAnsi="Times New Roman" w:cs="Times New Roman"/>
          <w:sz w:val="24"/>
          <w:szCs w:val="24"/>
        </w:rPr>
        <w:t xml:space="preserve"> </w:t>
      </w:r>
      <w:r w:rsidRPr="00365061">
        <w:rPr>
          <w:rFonts w:ascii="Times New Roman" w:hAnsi="Times New Roman" w:cs="Times New Roman"/>
          <w:sz w:val="24"/>
          <w:szCs w:val="24"/>
        </w:rPr>
        <w:t>2017 gruodžio 22 d. duomenimis rajone dirbo 4 pedagogai, turintys mokytojo eksperto kvalifikacinę kategoriją, 134 pedagogai turėjo mokytojo metodininko kvalifikacinę kategoriją.</w:t>
      </w:r>
    </w:p>
    <w:p w:rsidR="00365061" w:rsidRDefault="001A6C15" w:rsidP="0042561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365061">
        <w:rPr>
          <w:rFonts w:ascii="Times New Roman" w:hAnsi="Times New Roman" w:cs="Times New Roman"/>
          <w:sz w:val="24"/>
          <w:szCs w:val="24"/>
        </w:rPr>
        <w:t>Mokytojų skaičius lyginant su ankstesniais metais sumažėjo: 2014 – 2015 m. m. Joniškio rajono savivaldybės ugdymo įstaigose dirbo 456 pedagogai, 2015 – 2016 m. m. – 462</w:t>
      </w:r>
      <w:r>
        <w:rPr>
          <w:rFonts w:ascii="Times New Roman" w:hAnsi="Times New Roman" w:cs="Times New Roman"/>
          <w:sz w:val="24"/>
          <w:szCs w:val="24"/>
        </w:rPr>
        <w:t xml:space="preserve">, 2016 – 2017 m. m. – 450 pedagogų. Toliau lentelėje parodytas mokytojų skaičiaus kitimas per paskutinius ketverius metus: </w:t>
      </w:r>
    </w:p>
    <w:tbl>
      <w:tblPr>
        <w:tblStyle w:val="TableGrid"/>
        <w:tblW w:w="0" w:type="auto"/>
        <w:tblLook w:val="04A0"/>
      </w:tblPr>
      <w:tblGrid>
        <w:gridCol w:w="2518"/>
        <w:gridCol w:w="3260"/>
      </w:tblGrid>
      <w:tr w:rsidR="001A6C15" w:rsidTr="001A6C15">
        <w:tc>
          <w:tcPr>
            <w:tcW w:w="2518" w:type="dxa"/>
          </w:tcPr>
          <w:p w:rsidR="001A6C15" w:rsidRPr="001A6C15" w:rsidRDefault="001A6C15" w:rsidP="001A6C15">
            <w:pPr>
              <w:pStyle w:val="NoSpacing"/>
              <w:spacing w:line="276" w:lineRule="auto"/>
              <w:jc w:val="center"/>
              <w:rPr>
                <w:rFonts w:ascii="Times New Roman" w:hAnsi="Times New Roman" w:cs="Times New Roman"/>
                <w:b/>
                <w:sz w:val="24"/>
                <w:szCs w:val="24"/>
              </w:rPr>
            </w:pPr>
            <w:r w:rsidRPr="001A6C15">
              <w:rPr>
                <w:rFonts w:ascii="Times New Roman" w:hAnsi="Times New Roman" w:cs="Times New Roman"/>
                <w:b/>
                <w:sz w:val="24"/>
                <w:szCs w:val="24"/>
              </w:rPr>
              <w:t>Metai</w:t>
            </w:r>
          </w:p>
        </w:tc>
        <w:tc>
          <w:tcPr>
            <w:tcW w:w="3260" w:type="dxa"/>
          </w:tcPr>
          <w:p w:rsidR="001A6C15" w:rsidRPr="001A6C15" w:rsidRDefault="001A6C15" w:rsidP="001A6C15">
            <w:pPr>
              <w:pStyle w:val="NoSpacing"/>
              <w:spacing w:line="276" w:lineRule="auto"/>
              <w:jc w:val="center"/>
              <w:rPr>
                <w:rFonts w:ascii="Times New Roman" w:hAnsi="Times New Roman" w:cs="Times New Roman"/>
                <w:b/>
                <w:sz w:val="24"/>
                <w:szCs w:val="24"/>
              </w:rPr>
            </w:pPr>
            <w:r w:rsidRPr="001A6C15">
              <w:rPr>
                <w:rFonts w:ascii="Times New Roman" w:hAnsi="Times New Roman" w:cs="Times New Roman"/>
                <w:b/>
                <w:sz w:val="24"/>
                <w:szCs w:val="24"/>
              </w:rPr>
              <w:t>Pedagogų skaičius</w:t>
            </w:r>
          </w:p>
        </w:tc>
      </w:tr>
      <w:tr w:rsidR="001A6C15" w:rsidTr="001A6C15">
        <w:trPr>
          <w:trHeight w:val="315"/>
        </w:trPr>
        <w:tc>
          <w:tcPr>
            <w:tcW w:w="2518" w:type="dxa"/>
          </w:tcPr>
          <w:p w:rsidR="001A6C15" w:rsidRDefault="001A6C15" w:rsidP="0036506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2014 – 2015 m. m. </w:t>
            </w:r>
          </w:p>
        </w:tc>
        <w:tc>
          <w:tcPr>
            <w:tcW w:w="3260" w:type="dxa"/>
          </w:tcPr>
          <w:p w:rsidR="001A6C15" w:rsidRDefault="001A6C15" w:rsidP="001A6C15">
            <w:pPr>
              <w:pStyle w:val="NoSpacing"/>
              <w:jc w:val="center"/>
              <w:rPr>
                <w:rFonts w:ascii="Times New Roman" w:hAnsi="Times New Roman" w:cs="Times New Roman"/>
                <w:sz w:val="24"/>
                <w:szCs w:val="24"/>
              </w:rPr>
            </w:pPr>
            <w:r>
              <w:rPr>
                <w:rFonts w:ascii="Times New Roman" w:hAnsi="Times New Roman" w:cs="Times New Roman"/>
                <w:sz w:val="24"/>
                <w:szCs w:val="24"/>
              </w:rPr>
              <w:t>456</w:t>
            </w:r>
          </w:p>
        </w:tc>
      </w:tr>
      <w:tr w:rsidR="001A6C15" w:rsidTr="001A6C15">
        <w:trPr>
          <w:trHeight w:val="300"/>
        </w:trPr>
        <w:tc>
          <w:tcPr>
            <w:tcW w:w="2518" w:type="dxa"/>
          </w:tcPr>
          <w:p w:rsidR="001A6C15" w:rsidRDefault="001A6C15" w:rsidP="00365061">
            <w:pPr>
              <w:pStyle w:val="NoSpacing"/>
              <w:rPr>
                <w:rFonts w:ascii="Times New Roman" w:hAnsi="Times New Roman" w:cs="Times New Roman"/>
                <w:sz w:val="24"/>
                <w:szCs w:val="24"/>
              </w:rPr>
            </w:pPr>
            <w:r>
              <w:rPr>
                <w:rFonts w:ascii="Times New Roman" w:hAnsi="Times New Roman" w:cs="Times New Roman"/>
                <w:sz w:val="24"/>
                <w:szCs w:val="24"/>
              </w:rPr>
              <w:t xml:space="preserve">2015 – 2016 m. m. </w:t>
            </w:r>
          </w:p>
        </w:tc>
        <w:tc>
          <w:tcPr>
            <w:tcW w:w="3260" w:type="dxa"/>
          </w:tcPr>
          <w:p w:rsidR="001A6C15" w:rsidRDefault="001A6C15" w:rsidP="001A6C15">
            <w:pPr>
              <w:pStyle w:val="NoSpacing"/>
              <w:jc w:val="center"/>
              <w:rPr>
                <w:rFonts w:ascii="Times New Roman" w:hAnsi="Times New Roman" w:cs="Times New Roman"/>
                <w:sz w:val="24"/>
                <w:szCs w:val="24"/>
              </w:rPr>
            </w:pPr>
            <w:r>
              <w:rPr>
                <w:rFonts w:ascii="Times New Roman" w:hAnsi="Times New Roman" w:cs="Times New Roman"/>
                <w:sz w:val="24"/>
                <w:szCs w:val="24"/>
              </w:rPr>
              <w:t>462</w:t>
            </w:r>
          </w:p>
        </w:tc>
      </w:tr>
      <w:tr w:rsidR="001A6C15" w:rsidTr="001A6C15">
        <w:trPr>
          <w:trHeight w:val="150"/>
        </w:trPr>
        <w:tc>
          <w:tcPr>
            <w:tcW w:w="2518" w:type="dxa"/>
          </w:tcPr>
          <w:p w:rsidR="001A6C15" w:rsidRDefault="001A6C15" w:rsidP="00365061">
            <w:pPr>
              <w:pStyle w:val="NoSpacing"/>
              <w:rPr>
                <w:rFonts w:ascii="Times New Roman" w:hAnsi="Times New Roman" w:cs="Times New Roman"/>
                <w:sz w:val="24"/>
                <w:szCs w:val="24"/>
              </w:rPr>
            </w:pPr>
            <w:r>
              <w:rPr>
                <w:rFonts w:ascii="Times New Roman" w:hAnsi="Times New Roman" w:cs="Times New Roman"/>
                <w:sz w:val="24"/>
                <w:szCs w:val="24"/>
              </w:rPr>
              <w:t xml:space="preserve">2016 – 2017 m. m. </w:t>
            </w:r>
          </w:p>
        </w:tc>
        <w:tc>
          <w:tcPr>
            <w:tcW w:w="3260" w:type="dxa"/>
          </w:tcPr>
          <w:p w:rsidR="001A6C15" w:rsidRDefault="001A6C15" w:rsidP="001A6C15">
            <w:pPr>
              <w:pStyle w:val="NoSpacing"/>
              <w:jc w:val="center"/>
              <w:rPr>
                <w:rFonts w:ascii="Times New Roman" w:hAnsi="Times New Roman" w:cs="Times New Roman"/>
                <w:sz w:val="24"/>
                <w:szCs w:val="24"/>
              </w:rPr>
            </w:pPr>
            <w:r>
              <w:rPr>
                <w:rFonts w:ascii="Times New Roman" w:hAnsi="Times New Roman" w:cs="Times New Roman"/>
                <w:sz w:val="24"/>
                <w:szCs w:val="24"/>
              </w:rPr>
              <w:t>450</w:t>
            </w:r>
          </w:p>
        </w:tc>
      </w:tr>
      <w:tr w:rsidR="001A6C15" w:rsidTr="001A6C15">
        <w:trPr>
          <w:trHeight w:val="165"/>
        </w:trPr>
        <w:tc>
          <w:tcPr>
            <w:tcW w:w="2518" w:type="dxa"/>
          </w:tcPr>
          <w:p w:rsidR="001A6C15" w:rsidRDefault="001A6C15" w:rsidP="00365061">
            <w:pPr>
              <w:pStyle w:val="NoSpacing"/>
              <w:rPr>
                <w:rFonts w:ascii="Times New Roman" w:hAnsi="Times New Roman" w:cs="Times New Roman"/>
                <w:sz w:val="24"/>
                <w:szCs w:val="24"/>
              </w:rPr>
            </w:pPr>
            <w:r>
              <w:rPr>
                <w:rFonts w:ascii="Times New Roman" w:hAnsi="Times New Roman" w:cs="Times New Roman"/>
                <w:sz w:val="24"/>
                <w:szCs w:val="24"/>
              </w:rPr>
              <w:t xml:space="preserve">2017 – 2018 m. m. </w:t>
            </w:r>
          </w:p>
        </w:tc>
        <w:tc>
          <w:tcPr>
            <w:tcW w:w="3260" w:type="dxa"/>
          </w:tcPr>
          <w:p w:rsidR="001A6C15" w:rsidRDefault="001A6C15" w:rsidP="001A6C15">
            <w:pPr>
              <w:pStyle w:val="NoSpacing"/>
              <w:jc w:val="center"/>
              <w:rPr>
                <w:rFonts w:ascii="Times New Roman" w:hAnsi="Times New Roman" w:cs="Times New Roman"/>
                <w:sz w:val="24"/>
                <w:szCs w:val="24"/>
              </w:rPr>
            </w:pPr>
            <w:r>
              <w:rPr>
                <w:rFonts w:ascii="Times New Roman" w:hAnsi="Times New Roman" w:cs="Times New Roman"/>
                <w:sz w:val="24"/>
                <w:szCs w:val="24"/>
              </w:rPr>
              <w:t>414</w:t>
            </w:r>
          </w:p>
        </w:tc>
      </w:tr>
    </w:tbl>
    <w:p w:rsidR="000746C7" w:rsidRDefault="000746C7" w:rsidP="000746C7">
      <w:pPr>
        <w:autoSpaceDE w:val="0"/>
        <w:autoSpaceDN w:val="0"/>
        <w:adjustRightInd w:val="0"/>
        <w:ind w:firstLine="748"/>
        <w:rPr>
          <w:rFonts w:ascii="Times New Roman" w:hAnsi="Times New Roman" w:cs="Times New Roman"/>
          <w:sz w:val="24"/>
        </w:rPr>
      </w:pPr>
    </w:p>
    <w:p w:rsidR="000746C7" w:rsidRPr="000746C7" w:rsidRDefault="000746C7" w:rsidP="000746C7">
      <w:pPr>
        <w:autoSpaceDE w:val="0"/>
        <w:autoSpaceDN w:val="0"/>
        <w:adjustRightInd w:val="0"/>
        <w:ind w:firstLine="748"/>
        <w:rPr>
          <w:rFonts w:ascii="Times New Roman" w:hAnsi="Times New Roman" w:cs="Times New Roman"/>
          <w:sz w:val="24"/>
        </w:rPr>
      </w:pPr>
      <w:r w:rsidRPr="000746C7">
        <w:rPr>
          <w:rFonts w:ascii="Times New Roman" w:hAnsi="Times New Roman" w:cs="Times New Roman"/>
          <w:sz w:val="24"/>
        </w:rPr>
        <w:t>2017 gruodžio 22 d. duomenimis rajone dirbo 4 pedagogai, turintys mokytojo eksperto kvalifikacinę kategoriją, 134 pedagogai turėjo mokytojo metodininko kvalifikacinę kategoriją.</w:t>
      </w:r>
    </w:p>
    <w:p w:rsidR="00365061" w:rsidRPr="001A6C15" w:rsidRDefault="001A6C15" w:rsidP="00365061">
      <w:pPr>
        <w:pStyle w:val="NoSpacing"/>
        <w:spacing w:line="276" w:lineRule="auto"/>
        <w:rPr>
          <w:rFonts w:ascii="Times New Roman" w:hAnsi="Times New Roman" w:cs="Times New Roman"/>
          <w:b/>
          <w:sz w:val="24"/>
          <w:szCs w:val="24"/>
        </w:rPr>
      </w:pPr>
      <w:r w:rsidRPr="001A6C15">
        <w:rPr>
          <w:rFonts w:ascii="Times New Roman" w:hAnsi="Times New Roman" w:cs="Times New Roman"/>
          <w:b/>
          <w:sz w:val="24"/>
          <w:szCs w:val="24"/>
        </w:rPr>
        <w:t>Išva</w:t>
      </w:r>
      <w:r w:rsidR="000746C7">
        <w:rPr>
          <w:rFonts w:ascii="Times New Roman" w:hAnsi="Times New Roman" w:cs="Times New Roman"/>
          <w:b/>
          <w:sz w:val="24"/>
          <w:szCs w:val="24"/>
        </w:rPr>
        <w:t xml:space="preserve">da: Mokytojų skaičius sumažėjo. Rajono ugdymo įstaigose dirba aukštos kvalifikacijos mokytojai. </w:t>
      </w:r>
    </w:p>
    <w:p w:rsidR="000746C7" w:rsidRDefault="000746C7" w:rsidP="000746C7">
      <w:pPr>
        <w:pStyle w:val="Default"/>
        <w:rPr>
          <w:rFonts w:eastAsiaTheme="minorHAnsi"/>
          <w:lang w:eastAsia="en-US"/>
        </w:rPr>
      </w:pPr>
    </w:p>
    <w:p w:rsidR="000746C7" w:rsidRDefault="000746C7" w:rsidP="000746C7">
      <w:pPr>
        <w:pStyle w:val="Default"/>
        <w:rPr>
          <w:b/>
          <w:bCs/>
        </w:rPr>
      </w:pPr>
      <w:r w:rsidRPr="00915193">
        <w:rPr>
          <w:b/>
          <w:bCs/>
        </w:rPr>
        <w:t xml:space="preserve">Mokyklų vadovų kvalifikacija </w:t>
      </w:r>
    </w:p>
    <w:p w:rsidR="000746C7" w:rsidRPr="00915193" w:rsidRDefault="000746C7" w:rsidP="000746C7">
      <w:pPr>
        <w:pStyle w:val="Default"/>
      </w:pPr>
    </w:p>
    <w:p w:rsidR="000746C7" w:rsidRPr="000746C7" w:rsidRDefault="000746C7" w:rsidP="0042561D">
      <w:pPr>
        <w:pStyle w:val="NoSpacing"/>
        <w:spacing w:line="276" w:lineRule="auto"/>
        <w:ind w:firstLine="709"/>
        <w:rPr>
          <w:rFonts w:ascii="Times New Roman" w:hAnsi="Times New Roman" w:cs="Times New Roman"/>
          <w:sz w:val="24"/>
          <w:szCs w:val="24"/>
        </w:rPr>
      </w:pPr>
      <w:r w:rsidRPr="000746C7">
        <w:rPr>
          <w:rFonts w:ascii="Times New Roman" w:hAnsi="Times New Roman" w:cs="Times New Roman"/>
          <w:sz w:val="24"/>
          <w:szCs w:val="24"/>
        </w:rPr>
        <w:t xml:space="preserve">Švietimo įstaigoms vadovavo 32 vadovai (direktoriai,  pavaduotojai ugdymui, skyrių vedėjai). Iš jų 14 (44 %) yra įgiję trečiąją vadybinę kvalifikacinę kategoriją, 11 (34 %) yra įgiję antrąją vadybinę kvalifikacinę kategoriją, neatestuotų – 7 (22 %) vadovų. </w:t>
      </w:r>
    </w:p>
    <w:p w:rsidR="000746C7" w:rsidRPr="000746C7" w:rsidRDefault="000746C7" w:rsidP="0042561D">
      <w:pPr>
        <w:pStyle w:val="NoSpacing"/>
        <w:spacing w:line="276" w:lineRule="auto"/>
        <w:ind w:firstLine="709"/>
        <w:rPr>
          <w:rFonts w:ascii="Times New Roman" w:hAnsi="Times New Roman" w:cs="Times New Roman"/>
          <w:sz w:val="24"/>
          <w:szCs w:val="24"/>
        </w:rPr>
      </w:pPr>
      <w:r w:rsidRPr="000746C7">
        <w:rPr>
          <w:rFonts w:ascii="Times New Roman" w:hAnsi="Times New Roman" w:cs="Times New Roman"/>
          <w:sz w:val="24"/>
          <w:szCs w:val="24"/>
        </w:rPr>
        <w:t>2017 m. keturiems švietimo įstaigų vadovams buvo nustatyta veiklos ir kompetencijos atitiktis turimai kvalifikacinei kategorijai ir vienai švietimo įstaigos direktoriaus pavaduotojai ugdymui suteikta III kvalifikacinė kategorija.</w:t>
      </w:r>
      <w:r>
        <w:rPr>
          <w:rFonts w:ascii="Times New Roman" w:hAnsi="Times New Roman" w:cs="Times New Roman"/>
          <w:sz w:val="24"/>
          <w:szCs w:val="24"/>
        </w:rPr>
        <w:t xml:space="preserve"> </w:t>
      </w:r>
    </w:p>
    <w:p w:rsidR="00423A53" w:rsidRDefault="00423A53" w:rsidP="0042561D">
      <w:pPr>
        <w:pStyle w:val="NoSpacing"/>
        <w:spacing w:line="276" w:lineRule="auto"/>
        <w:rPr>
          <w:rFonts w:ascii="Times New Roman" w:eastAsia="Calibri" w:hAnsi="Times New Roman" w:cs="Times New Roman"/>
          <w:b/>
          <w:sz w:val="24"/>
          <w:szCs w:val="24"/>
        </w:rPr>
      </w:pPr>
    </w:p>
    <w:p w:rsidR="00423A53" w:rsidRDefault="00423A53" w:rsidP="0042561D">
      <w:pPr>
        <w:pStyle w:val="NoSpacing"/>
        <w:spacing w:line="276" w:lineRule="auto"/>
        <w:rPr>
          <w:rFonts w:ascii="Times New Roman" w:eastAsia="Calibri" w:hAnsi="Times New Roman" w:cs="Times New Roman"/>
          <w:sz w:val="24"/>
          <w:szCs w:val="24"/>
        </w:rPr>
      </w:pPr>
      <w:r w:rsidRPr="00423A53">
        <w:rPr>
          <w:rFonts w:ascii="Times New Roman" w:eastAsia="Calibri" w:hAnsi="Times New Roman" w:cs="Times New Roman"/>
          <w:b/>
          <w:sz w:val="24"/>
          <w:szCs w:val="24"/>
        </w:rPr>
        <w:t>Mokymosi pasiekimai</w:t>
      </w:r>
    </w:p>
    <w:p w:rsidR="00423A53" w:rsidRPr="00D3047C" w:rsidRDefault="00D3047C" w:rsidP="0042561D">
      <w:pPr>
        <w:pStyle w:val="NoSpacing"/>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423A53" w:rsidRPr="00D3047C">
        <w:rPr>
          <w:rFonts w:ascii="Times New Roman" w:hAnsi="Times New Roman" w:cs="Times New Roman"/>
          <w:sz w:val="24"/>
          <w:szCs w:val="24"/>
          <w:lang w:eastAsia="ar-SA"/>
        </w:rPr>
        <w:t xml:space="preserve">Joniškio rajono savivaldybės 2015–2017 m. PUPP matematikos ir lietuvių kalbos ir literatūros nepasiekusių net patenkinamo lygio procentinė dalis yra didesnė nei Lietuvos, o pasiekusių pagrindinį ir aukštesnįjį lygį procentinė dalis mažesnė negu Lietuvos. </w:t>
      </w:r>
    </w:p>
    <w:p w:rsidR="0042561D" w:rsidRDefault="0042561D" w:rsidP="000746C7">
      <w:pPr>
        <w:pStyle w:val="NoSpacing"/>
        <w:spacing w:line="276" w:lineRule="auto"/>
        <w:rPr>
          <w:rFonts w:ascii="Times New Roman" w:hAnsi="Times New Roman" w:cs="Times New Roman"/>
          <w:b/>
          <w:sz w:val="24"/>
          <w:szCs w:val="24"/>
        </w:rPr>
      </w:pPr>
    </w:p>
    <w:p w:rsidR="00423A53" w:rsidRDefault="00423A53" w:rsidP="000746C7">
      <w:pPr>
        <w:pStyle w:val="NoSpacing"/>
        <w:spacing w:line="276" w:lineRule="auto"/>
        <w:rPr>
          <w:rFonts w:ascii="Times New Roman" w:hAnsi="Times New Roman" w:cs="Times New Roman"/>
          <w:b/>
          <w:sz w:val="24"/>
          <w:szCs w:val="24"/>
        </w:rPr>
      </w:pPr>
      <w:r w:rsidRPr="000A6D65">
        <w:rPr>
          <w:rFonts w:ascii="Times New Roman" w:hAnsi="Times New Roman" w:cs="Times New Roman"/>
          <w:b/>
          <w:sz w:val="24"/>
          <w:szCs w:val="24"/>
        </w:rPr>
        <w:lastRenderedPageBreak/>
        <w:t>Lietuvių kalbos pagrindinio ugdymo pasiekimų patikrinimo 2013 – 2017 metų rezultatai:</w:t>
      </w:r>
    </w:p>
    <w:p w:rsidR="00423A53" w:rsidRPr="00506286" w:rsidRDefault="00423A53" w:rsidP="000746C7">
      <w:pPr>
        <w:pStyle w:val="NoSpacing"/>
        <w:spacing w:line="276" w:lineRule="auto"/>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268"/>
        <w:gridCol w:w="2268"/>
        <w:gridCol w:w="1701"/>
        <w:gridCol w:w="1984"/>
      </w:tblGrid>
      <w:tr w:rsidR="00423A53" w:rsidRPr="00575296" w:rsidTr="005F08A1">
        <w:trPr>
          <w:trHeight w:val="537"/>
        </w:trPr>
        <w:tc>
          <w:tcPr>
            <w:tcW w:w="1668" w:type="dxa"/>
            <w:vMerge w:val="restart"/>
          </w:tcPr>
          <w:p w:rsidR="00423A53" w:rsidRPr="00423A53" w:rsidRDefault="00423A53" w:rsidP="005F08A1">
            <w:pPr>
              <w:rPr>
                <w:rFonts w:ascii="Times New Roman" w:hAnsi="Times New Roman" w:cs="Times New Roman"/>
                <w:b/>
                <w:sz w:val="20"/>
                <w:szCs w:val="20"/>
              </w:rPr>
            </w:pPr>
          </w:p>
        </w:tc>
        <w:tc>
          <w:tcPr>
            <w:tcW w:w="2268" w:type="dxa"/>
            <w:vMerge w:val="restart"/>
          </w:tcPr>
          <w:p w:rsidR="00423A53" w:rsidRPr="00423A53" w:rsidRDefault="00423A53" w:rsidP="005F08A1">
            <w:pPr>
              <w:pStyle w:val="NoSpacing"/>
              <w:jc w:val="center"/>
              <w:rPr>
                <w:rFonts w:ascii="Times New Roman" w:hAnsi="Times New Roman" w:cs="Times New Roman"/>
                <w:b/>
              </w:rPr>
            </w:pPr>
          </w:p>
          <w:p w:rsidR="00423A53" w:rsidRPr="00423A53" w:rsidRDefault="00423A53" w:rsidP="005F08A1">
            <w:pPr>
              <w:pStyle w:val="NoSpacing"/>
              <w:jc w:val="center"/>
              <w:rPr>
                <w:rFonts w:ascii="Times New Roman" w:hAnsi="Times New Roman" w:cs="Times New Roman"/>
                <w:b/>
              </w:rPr>
            </w:pPr>
            <w:r w:rsidRPr="00423A53">
              <w:rPr>
                <w:rFonts w:ascii="Times New Roman" w:hAnsi="Times New Roman" w:cs="Times New Roman"/>
                <w:b/>
              </w:rPr>
              <w:t>Mokslo metai</w:t>
            </w:r>
          </w:p>
        </w:tc>
        <w:tc>
          <w:tcPr>
            <w:tcW w:w="2268" w:type="dxa"/>
            <w:vMerge w:val="restart"/>
          </w:tcPr>
          <w:p w:rsidR="00423A53" w:rsidRPr="00423A53" w:rsidRDefault="00423A53" w:rsidP="005F08A1">
            <w:pPr>
              <w:pStyle w:val="NoSpacing"/>
              <w:jc w:val="center"/>
              <w:rPr>
                <w:rFonts w:ascii="Times New Roman" w:hAnsi="Times New Roman" w:cs="Times New Roman"/>
                <w:b/>
              </w:rPr>
            </w:pPr>
            <w:r w:rsidRPr="00423A53">
              <w:rPr>
                <w:rFonts w:ascii="Times New Roman" w:hAnsi="Times New Roman" w:cs="Times New Roman"/>
                <w:b/>
              </w:rPr>
              <w:t>Gavusių</w:t>
            </w:r>
          </w:p>
          <w:p w:rsidR="00423A53" w:rsidRPr="00423A53" w:rsidRDefault="00423A53" w:rsidP="005F08A1">
            <w:pPr>
              <w:pStyle w:val="NoSpacing"/>
              <w:jc w:val="center"/>
              <w:rPr>
                <w:rFonts w:ascii="Times New Roman" w:hAnsi="Times New Roman" w:cs="Times New Roman"/>
                <w:b/>
              </w:rPr>
            </w:pPr>
            <w:r w:rsidRPr="00423A53">
              <w:rPr>
                <w:rFonts w:ascii="Times New Roman" w:hAnsi="Times New Roman" w:cs="Times New Roman"/>
                <w:b/>
              </w:rPr>
              <w:t>1–3 balų įvertinimą (skaičiaus dalis proc.)</w:t>
            </w:r>
          </w:p>
        </w:tc>
        <w:tc>
          <w:tcPr>
            <w:tcW w:w="1701" w:type="dxa"/>
            <w:vMerge w:val="restart"/>
          </w:tcPr>
          <w:p w:rsidR="00423A53" w:rsidRPr="00423A53" w:rsidRDefault="00423A53" w:rsidP="005F08A1">
            <w:pPr>
              <w:pStyle w:val="NoSpacing"/>
              <w:jc w:val="center"/>
              <w:rPr>
                <w:rFonts w:ascii="Times New Roman" w:hAnsi="Times New Roman" w:cs="Times New Roman"/>
                <w:b/>
              </w:rPr>
            </w:pPr>
            <w:r w:rsidRPr="00423A53">
              <w:rPr>
                <w:rFonts w:ascii="Times New Roman" w:hAnsi="Times New Roman" w:cs="Times New Roman"/>
                <w:b/>
              </w:rPr>
              <w:t>Gavusių</w:t>
            </w:r>
          </w:p>
          <w:p w:rsidR="00423A53" w:rsidRPr="00423A53" w:rsidRDefault="00423A53" w:rsidP="005F08A1">
            <w:pPr>
              <w:pStyle w:val="NoSpacing"/>
              <w:jc w:val="center"/>
              <w:rPr>
                <w:rFonts w:ascii="Times New Roman" w:hAnsi="Times New Roman" w:cs="Times New Roman"/>
                <w:b/>
              </w:rPr>
            </w:pPr>
            <w:r w:rsidRPr="00423A53">
              <w:rPr>
                <w:rFonts w:ascii="Times New Roman" w:hAnsi="Times New Roman" w:cs="Times New Roman"/>
                <w:b/>
              </w:rPr>
              <w:t>9–10 balų įvertinimą (skaičiaus dalis proc.)</w:t>
            </w:r>
          </w:p>
        </w:tc>
        <w:tc>
          <w:tcPr>
            <w:tcW w:w="1984" w:type="dxa"/>
            <w:vMerge w:val="restart"/>
          </w:tcPr>
          <w:p w:rsidR="00423A53" w:rsidRPr="00423A53" w:rsidRDefault="00423A53" w:rsidP="005F08A1">
            <w:pPr>
              <w:pStyle w:val="NoSpacing"/>
              <w:jc w:val="center"/>
              <w:rPr>
                <w:rFonts w:ascii="Times New Roman" w:hAnsi="Times New Roman" w:cs="Times New Roman"/>
                <w:b/>
              </w:rPr>
            </w:pPr>
            <w:r w:rsidRPr="00423A53">
              <w:rPr>
                <w:rFonts w:ascii="Times New Roman" w:hAnsi="Times New Roman" w:cs="Times New Roman"/>
                <w:b/>
              </w:rPr>
              <w:t>Įvertinimų vidurkis</w:t>
            </w:r>
          </w:p>
        </w:tc>
      </w:tr>
      <w:tr w:rsidR="00423A53" w:rsidRPr="00575296" w:rsidTr="005F08A1">
        <w:trPr>
          <w:trHeight w:val="537"/>
        </w:trPr>
        <w:tc>
          <w:tcPr>
            <w:tcW w:w="1668" w:type="dxa"/>
            <w:vMerge/>
            <w:tcBorders>
              <w:bottom w:val="single" w:sz="12" w:space="0" w:color="auto"/>
            </w:tcBorders>
          </w:tcPr>
          <w:p w:rsidR="00423A53" w:rsidRPr="00423A53" w:rsidRDefault="00423A53" w:rsidP="005F08A1">
            <w:pPr>
              <w:rPr>
                <w:rFonts w:ascii="Times New Roman" w:hAnsi="Times New Roman" w:cs="Times New Roman"/>
                <w:sz w:val="20"/>
                <w:szCs w:val="20"/>
              </w:rPr>
            </w:pPr>
          </w:p>
        </w:tc>
        <w:tc>
          <w:tcPr>
            <w:tcW w:w="2268" w:type="dxa"/>
            <w:vMerge/>
          </w:tcPr>
          <w:p w:rsidR="00423A53" w:rsidRPr="00423A53" w:rsidRDefault="00423A53" w:rsidP="005F08A1">
            <w:pPr>
              <w:rPr>
                <w:rFonts w:ascii="Times New Roman" w:hAnsi="Times New Roman" w:cs="Times New Roman"/>
                <w:sz w:val="20"/>
                <w:szCs w:val="20"/>
              </w:rPr>
            </w:pPr>
          </w:p>
        </w:tc>
        <w:tc>
          <w:tcPr>
            <w:tcW w:w="2268" w:type="dxa"/>
            <w:vMerge/>
          </w:tcPr>
          <w:p w:rsidR="00423A53" w:rsidRPr="00423A53" w:rsidRDefault="00423A53" w:rsidP="005F08A1">
            <w:pPr>
              <w:rPr>
                <w:rFonts w:ascii="Times New Roman" w:hAnsi="Times New Roman" w:cs="Times New Roman"/>
                <w:sz w:val="20"/>
                <w:szCs w:val="20"/>
              </w:rPr>
            </w:pPr>
          </w:p>
        </w:tc>
        <w:tc>
          <w:tcPr>
            <w:tcW w:w="1701" w:type="dxa"/>
            <w:vMerge/>
          </w:tcPr>
          <w:p w:rsidR="00423A53" w:rsidRPr="00423A53" w:rsidRDefault="00423A53" w:rsidP="005F08A1">
            <w:pPr>
              <w:rPr>
                <w:rFonts w:ascii="Times New Roman" w:hAnsi="Times New Roman" w:cs="Times New Roman"/>
                <w:sz w:val="20"/>
                <w:szCs w:val="20"/>
              </w:rPr>
            </w:pPr>
          </w:p>
        </w:tc>
        <w:tc>
          <w:tcPr>
            <w:tcW w:w="1984" w:type="dxa"/>
            <w:vMerge/>
          </w:tcPr>
          <w:p w:rsidR="00423A53" w:rsidRPr="00423A53" w:rsidRDefault="00423A53" w:rsidP="005F08A1">
            <w:pPr>
              <w:rPr>
                <w:rFonts w:ascii="Times New Roman" w:hAnsi="Times New Roman" w:cs="Times New Roman"/>
                <w:sz w:val="20"/>
                <w:szCs w:val="20"/>
              </w:rPr>
            </w:pPr>
          </w:p>
        </w:tc>
      </w:tr>
      <w:tr w:rsidR="00423A53" w:rsidRPr="00575296" w:rsidTr="005F08A1">
        <w:tc>
          <w:tcPr>
            <w:tcW w:w="1668" w:type="dxa"/>
            <w:vMerge w:val="restart"/>
            <w:tcBorders>
              <w:top w:val="single" w:sz="12" w:space="0" w:color="auto"/>
            </w:tcBorders>
          </w:tcPr>
          <w:p w:rsidR="00423A53" w:rsidRPr="00423A53" w:rsidRDefault="00423A53" w:rsidP="005F08A1">
            <w:pPr>
              <w:jc w:val="center"/>
              <w:rPr>
                <w:rFonts w:ascii="Times New Roman" w:hAnsi="Times New Roman" w:cs="Times New Roman"/>
                <w:sz w:val="20"/>
                <w:szCs w:val="20"/>
              </w:rPr>
            </w:pPr>
            <w:r w:rsidRPr="00423A53">
              <w:rPr>
                <w:rFonts w:ascii="Times New Roman" w:hAnsi="Times New Roman" w:cs="Times New Roman"/>
                <w:sz w:val="20"/>
                <w:szCs w:val="20"/>
              </w:rPr>
              <w:t>Rajono rezultatai</w:t>
            </w:r>
          </w:p>
        </w:tc>
        <w:tc>
          <w:tcPr>
            <w:tcW w:w="2268" w:type="dxa"/>
            <w:tcBorders>
              <w:top w:val="single" w:sz="12" w:space="0" w:color="auto"/>
            </w:tcBorders>
          </w:tcPr>
          <w:p w:rsidR="00423A53" w:rsidRPr="00423A53" w:rsidRDefault="00423A53" w:rsidP="005F08A1">
            <w:pPr>
              <w:jc w:val="center"/>
              <w:rPr>
                <w:rFonts w:ascii="Times New Roman" w:hAnsi="Times New Roman" w:cs="Times New Roman"/>
                <w:sz w:val="20"/>
                <w:szCs w:val="20"/>
              </w:rPr>
            </w:pPr>
            <w:r w:rsidRPr="00423A53">
              <w:rPr>
                <w:rFonts w:ascii="Times New Roman" w:hAnsi="Times New Roman" w:cs="Times New Roman"/>
                <w:sz w:val="20"/>
                <w:szCs w:val="20"/>
              </w:rPr>
              <w:t>2013–2014 m. m.</w:t>
            </w:r>
          </w:p>
        </w:tc>
        <w:tc>
          <w:tcPr>
            <w:tcW w:w="2268" w:type="dxa"/>
            <w:tcBorders>
              <w:top w:val="single" w:sz="12" w:space="0" w:color="auto"/>
            </w:tcBorders>
          </w:tcPr>
          <w:p w:rsidR="00423A53" w:rsidRPr="00423A53" w:rsidRDefault="00423A53" w:rsidP="005F08A1">
            <w:pPr>
              <w:jc w:val="center"/>
              <w:rPr>
                <w:rFonts w:ascii="Times New Roman" w:hAnsi="Times New Roman" w:cs="Times New Roman"/>
                <w:sz w:val="20"/>
                <w:szCs w:val="20"/>
              </w:rPr>
            </w:pPr>
            <w:r w:rsidRPr="00423A53">
              <w:rPr>
                <w:rFonts w:ascii="Times New Roman" w:hAnsi="Times New Roman" w:cs="Times New Roman"/>
                <w:sz w:val="20"/>
                <w:szCs w:val="20"/>
              </w:rPr>
              <w:t>6,37</w:t>
            </w:r>
          </w:p>
        </w:tc>
        <w:tc>
          <w:tcPr>
            <w:tcW w:w="1701" w:type="dxa"/>
            <w:tcBorders>
              <w:top w:val="single" w:sz="12" w:space="0" w:color="auto"/>
            </w:tcBorders>
          </w:tcPr>
          <w:p w:rsidR="00423A53" w:rsidRPr="00423A53" w:rsidRDefault="00423A53" w:rsidP="005F08A1">
            <w:pPr>
              <w:jc w:val="center"/>
              <w:rPr>
                <w:rFonts w:ascii="Times New Roman" w:hAnsi="Times New Roman" w:cs="Times New Roman"/>
                <w:sz w:val="20"/>
                <w:szCs w:val="20"/>
              </w:rPr>
            </w:pPr>
            <w:r w:rsidRPr="00423A53">
              <w:rPr>
                <w:rFonts w:ascii="Times New Roman" w:hAnsi="Times New Roman" w:cs="Times New Roman"/>
                <w:sz w:val="20"/>
                <w:szCs w:val="20"/>
              </w:rPr>
              <w:t>5,24</w:t>
            </w:r>
          </w:p>
        </w:tc>
        <w:tc>
          <w:tcPr>
            <w:tcW w:w="1984" w:type="dxa"/>
            <w:tcBorders>
              <w:top w:val="single" w:sz="12" w:space="0" w:color="auto"/>
            </w:tcBorders>
          </w:tcPr>
          <w:p w:rsidR="00423A53" w:rsidRPr="00423A53" w:rsidRDefault="00423A53" w:rsidP="005F08A1">
            <w:pPr>
              <w:jc w:val="center"/>
              <w:rPr>
                <w:rFonts w:ascii="Times New Roman" w:hAnsi="Times New Roman" w:cs="Times New Roman"/>
                <w:sz w:val="20"/>
                <w:szCs w:val="20"/>
              </w:rPr>
            </w:pPr>
            <w:r w:rsidRPr="00423A53">
              <w:rPr>
                <w:rFonts w:ascii="Times New Roman" w:hAnsi="Times New Roman" w:cs="Times New Roman"/>
                <w:sz w:val="20"/>
                <w:szCs w:val="20"/>
              </w:rPr>
              <w:t>5,8</w:t>
            </w:r>
          </w:p>
        </w:tc>
      </w:tr>
      <w:tr w:rsidR="00423A53" w:rsidRPr="00575296" w:rsidTr="005F08A1">
        <w:trPr>
          <w:trHeight w:val="96"/>
        </w:trPr>
        <w:tc>
          <w:tcPr>
            <w:tcW w:w="1668" w:type="dxa"/>
            <w:vMerge/>
          </w:tcPr>
          <w:p w:rsidR="00423A53" w:rsidRPr="00423A53" w:rsidRDefault="00423A53" w:rsidP="005F08A1">
            <w:pPr>
              <w:jc w:val="center"/>
              <w:rPr>
                <w:rFonts w:ascii="Times New Roman" w:hAnsi="Times New Roman" w:cs="Times New Roman"/>
                <w:sz w:val="20"/>
                <w:szCs w:val="20"/>
              </w:rPr>
            </w:pPr>
          </w:p>
        </w:tc>
        <w:tc>
          <w:tcPr>
            <w:tcW w:w="2268" w:type="dxa"/>
          </w:tcPr>
          <w:p w:rsidR="00423A53" w:rsidRPr="00423A53" w:rsidRDefault="00423A53" w:rsidP="005F08A1">
            <w:pPr>
              <w:jc w:val="center"/>
              <w:rPr>
                <w:rFonts w:ascii="Times New Roman" w:hAnsi="Times New Roman" w:cs="Times New Roman"/>
                <w:sz w:val="20"/>
                <w:szCs w:val="20"/>
              </w:rPr>
            </w:pPr>
            <w:r w:rsidRPr="00423A53">
              <w:rPr>
                <w:rFonts w:ascii="Times New Roman" w:hAnsi="Times New Roman" w:cs="Times New Roman"/>
                <w:sz w:val="20"/>
                <w:szCs w:val="20"/>
              </w:rPr>
              <w:t>2014–2015 m. m.</w:t>
            </w:r>
          </w:p>
        </w:tc>
        <w:tc>
          <w:tcPr>
            <w:tcW w:w="2268" w:type="dxa"/>
          </w:tcPr>
          <w:p w:rsidR="00423A53" w:rsidRPr="00423A53" w:rsidRDefault="00423A53" w:rsidP="005F08A1">
            <w:pPr>
              <w:jc w:val="center"/>
              <w:rPr>
                <w:rFonts w:ascii="Times New Roman" w:hAnsi="Times New Roman" w:cs="Times New Roman"/>
                <w:sz w:val="20"/>
                <w:szCs w:val="20"/>
              </w:rPr>
            </w:pPr>
            <w:r w:rsidRPr="00423A53">
              <w:rPr>
                <w:rFonts w:ascii="Times New Roman" w:hAnsi="Times New Roman" w:cs="Times New Roman"/>
                <w:sz w:val="20"/>
                <w:szCs w:val="20"/>
              </w:rPr>
              <w:t>5,3</w:t>
            </w:r>
          </w:p>
        </w:tc>
        <w:tc>
          <w:tcPr>
            <w:tcW w:w="1701" w:type="dxa"/>
          </w:tcPr>
          <w:p w:rsidR="00423A53" w:rsidRPr="00423A53" w:rsidRDefault="00423A53" w:rsidP="005F08A1">
            <w:pPr>
              <w:jc w:val="center"/>
              <w:rPr>
                <w:rFonts w:ascii="Times New Roman" w:hAnsi="Times New Roman" w:cs="Times New Roman"/>
                <w:sz w:val="20"/>
                <w:szCs w:val="20"/>
              </w:rPr>
            </w:pPr>
            <w:r w:rsidRPr="00423A53">
              <w:rPr>
                <w:rFonts w:ascii="Times New Roman" w:hAnsi="Times New Roman" w:cs="Times New Roman"/>
                <w:sz w:val="20"/>
                <w:szCs w:val="20"/>
              </w:rPr>
              <w:t>5,65</w:t>
            </w:r>
          </w:p>
        </w:tc>
        <w:tc>
          <w:tcPr>
            <w:tcW w:w="1984" w:type="dxa"/>
          </w:tcPr>
          <w:p w:rsidR="00423A53" w:rsidRPr="00423A53" w:rsidRDefault="00423A53" w:rsidP="005F08A1">
            <w:pPr>
              <w:jc w:val="center"/>
              <w:rPr>
                <w:rFonts w:ascii="Times New Roman" w:hAnsi="Times New Roman" w:cs="Times New Roman"/>
                <w:sz w:val="20"/>
                <w:szCs w:val="20"/>
              </w:rPr>
            </w:pPr>
            <w:r w:rsidRPr="00423A53">
              <w:rPr>
                <w:rFonts w:ascii="Times New Roman" w:hAnsi="Times New Roman" w:cs="Times New Roman"/>
                <w:sz w:val="20"/>
                <w:szCs w:val="20"/>
              </w:rPr>
              <w:t>5,94</w:t>
            </w:r>
          </w:p>
        </w:tc>
      </w:tr>
      <w:tr w:rsidR="00423A53" w:rsidRPr="00575296" w:rsidTr="005F08A1">
        <w:tc>
          <w:tcPr>
            <w:tcW w:w="1668" w:type="dxa"/>
            <w:vMerge/>
          </w:tcPr>
          <w:p w:rsidR="00423A53" w:rsidRPr="00423A53" w:rsidRDefault="00423A53" w:rsidP="005F08A1">
            <w:pPr>
              <w:jc w:val="center"/>
              <w:rPr>
                <w:rFonts w:ascii="Times New Roman" w:hAnsi="Times New Roman" w:cs="Times New Roman"/>
                <w:sz w:val="20"/>
                <w:szCs w:val="20"/>
              </w:rPr>
            </w:pPr>
          </w:p>
        </w:tc>
        <w:tc>
          <w:tcPr>
            <w:tcW w:w="2268" w:type="dxa"/>
          </w:tcPr>
          <w:p w:rsidR="00423A53" w:rsidRPr="00423A53" w:rsidRDefault="00423A53" w:rsidP="005F08A1">
            <w:pPr>
              <w:jc w:val="center"/>
              <w:rPr>
                <w:rFonts w:ascii="Times New Roman" w:hAnsi="Times New Roman" w:cs="Times New Roman"/>
                <w:sz w:val="20"/>
                <w:szCs w:val="20"/>
              </w:rPr>
            </w:pPr>
            <w:r w:rsidRPr="00423A53">
              <w:rPr>
                <w:rFonts w:ascii="Times New Roman" w:hAnsi="Times New Roman" w:cs="Times New Roman"/>
                <w:sz w:val="20"/>
                <w:szCs w:val="20"/>
              </w:rPr>
              <w:t>2015–2016 m. m.</w:t>
            </w:r>
          </w:p>
        </w:tc>
        <w:tc>
          <w:tcPr>
            <w:tcW w:w="2268" w:type="dxa"/>
          </w:tcPr>
          <w:p w:rsidR="00423A53" w:rsidRPr="00423A53" w:rsidRDefault="00423A53" w:rsidP="005F08A1">
            <w:pPr>
              <w:jc w:val="center"/>
              <w:rPr>
                <w:rFonts w:ascii="Times New Roman" w:hAnsi="Times New Roman" w:cs="Times New Roman"/>
                <w:sz w:val="20"/>
                <w:szCs w:val="20"/>
              </w:rPr>
            </w:pPr>
            <w:r w:rsidRPr="00423A53">
              <w:rPr>
                <w:rFonts w:ascii="Times New Roman" w:hAnsi="Times New Roman" w:cs="Times New Roman"/>
                <w:sz w:val="20"/>
                <w:szCs w:val="20"/>
              </w:rPr>
              <w:t>4,1</w:t>
            </w:r>
          </w:p>
        </w:tc>
        <w:tc>
          <w:tcPr>
            <w:tcW w:w="1701" w:type="dxa"/>
          </w:tcPr>
          <w:p w:rsidR="00423A53" w:rsidRPr="00423A53" w:rsidRDefault="00423A53" w:rsidP="005F08A1">
            <w:pPr>
              <w:jc w:val="center"/>
              <w:rPr>
                <w:rFonts w:ascii="Times New Roman" w:hAnsi="Times New Roman" w:cs="Times New Roman"/>
                <w:sz w:val="20"/>
                <w:szCs w:val="20"/>
              </w:rPr>
            </w:pPr>
            <w:r w:rsidRPr="00423A53">
              <w:rPr>
                <w:rFonts w:ascii="Times New Roman" w:hAnsi="Times New Roman" w:cs="Times New Roman"/>
                <w:sz w:val="20"/>
                <w:szCs w:val="20"/>
              </w:rPr>
              <w:t>8,1</w:t>
            </w:r>
          </w:p>
        </w:tc>
        <w:tc>
          <w:tcPr>
            <w:tcW w:w="1984" w:type="dxa"/>
          </w:tcPr>
          <w:p w:rsidR="00423A53" w:rsidRPr="00423A53" w:rsidRDefault="00423A53" w:rsidP="005F08A1">
            <w:pPr>
              <w:jc w:val="center"/>
              <w:rPr>
                <w:rFonts w:ascii="Times New Roman" w:hAnsi="Times New Roman" w:cs="Times New Roman"/>
                <w:sz w:val="20"/>
                <w:szCs w:val="20"/>
              </w:rPr>
            </w:pPr>
            <w:r w:rsidRPr="00423A53">
              <w:rPr>
                <w:rFonts w:ascii="Times New Roman" w:hAnsi="Times New Roman" w:cs="Times New Roman"/>
                <w:sz w:val="20"/>
                <w:szCs w:val="20"/>
              </w:rPr>
              <w:t>6,05</w:t>
            </w:r>
          </w:p>
        </w:tc>
      </w:tr>
      <w:tr w:rsidR="00423A53" w:rsidRPr="00575296" w:rsidTr="00F0412C">
        <w:trPr>
          <w:trHeight w:val="274"/>
        </w:trPr>
        <w:tc>
          <w:tcPr>
            <w:tcW w:w="1668" w:type="dxa"/>
            <w:vMerge/>
            <w:tcBorders>
              <w:bottom w:val="single" w:sz="12" w:space="0" w:color="auto"/>
            </w:tcBorders>
          </w:tcPr>
          <w:p w:rsidR="00423A53" w:rsidRPr="00423A53" w:rsidRDefault="00423A53" w:rsidP="005F08A1">
            <w:pPr>
              <w:jc w:val="center"/>
              <w:rPr>
                <w:rFonts w:ascii="Times New Roman" w:hAnsi="Times New Roman" w:cs="Times New Roman"/>
                <w:sz w:val="20"/>
                <w:szCs w:val="20"/>
              </w:rPr>
            </w:pPr>
          </w:p>
        </w:tc>
        <w:tc>
          <w:tcPr>
            <w:tcW w:w="2268" w:type="dxa"/>
          </w:tcPr>
          <w:p w:rsidR="00423A53" w:rsidRPr="00423A53" w:rsidRDefault="00423A53" w:rsidP="005F08A1">
            <w:pPr>
              <w:jc w:val="center"/>
              <w:rPr>
                <w:rFonts w:ascii="Times New Roman" w:hAnsi="Times New Roman" w:cs="Times New Roman"/>
                <w:b/>
                <w:sz w:val="20"/>
                <w:szCs w:val="20"/>
              </w:rPr>
            </w:pPr>
            <w:r w:rsidRPr="00423A53">
              <w:rPr>
                <w:rFonts w:ascii="Times New Roman" w:hAnsi="Times New Roman" w:cs="Times New Roman"/>
                <w:b/>
                <w:sz w:val="20"/>
                <w:szCs w:val="20"/>
              </w:rPr>
              <w:t>2016 – 2017 m. m.</w:t>
            </w:r>
          </w:p>
        </w:tc>
        <w:tc>
          <w:tcPr>
            <w:tcW w:w="2268" w:type="dxa"/>
          </w:tcPr>
          <w:p w:rsidR="00423A53" w:rsidRPr="00423A53" w:rsidRDefault="00423A53" w:rsidP="005F08A1">
            <w:pPr>
              <w:jc w:val="center"/>
              <w:rPr>
                <w:rFonts w:ascii="Times New Roman" w:hAnsi="Times New Roman" w:cs="Times New Roman"/>
                <w:b/>
                <w:sz w:val="20"/>
                <w:szCs w:val="20"/>
              </w:rPr>
            </w:pPr>
            <w:r w:rsidRPr="00423A53">
              <w:rPr>
                <w:rFonts w:ascii="Times New Roman" w:hAnsi="Times New Roman" w:cs="Times New Roman"/>
                <w:b/>
                <w:sz w:val="20"/>
                <w:szCs w:val="20"/>
              </w:rPr>
              <w:t>7,2</w:t>
            </w:r>
          </w:p>
        </w:tc>
        <w:tc>
          <w:tcPr>
            <w:tcW w:w="1701" w:type="dxa"/>
          </w:tcPr>
          <w:p w:rsidR="00423A53" w:rsidRPr="00423A53" w:rsidRDefault="00423A53" w:rsidP="005F08A1">
            <w:pPr>
              <w:jc w:val="center"/>
              <w:rPr>
                <w:rFonts w:ascii="Times New Roman" w:hAnsi="Times New Roman" w:cs="Times New Roman"/>
                <w:b/>
                <w:sz w:val="20"/>
                <w:szCs w:val="20"/>
              </w:rPr>
            </w:pPr>
            <w:r w:rsidRPr="00423A53">
              <w:rPr>
                <w:rFonts w:ascii="Times New Roman" w:hAnsi="Times New Roman" w:cs="Times New Roman"/>
                <w:b/>
                <w:sz w:val="20"/>
                <w:szCs w:val="20"/>
              </w:rPr>
              <w:t>7,2</w:t>
            </w:r>
          </w:p>
        </w:tc>
        <w:tc>
          <w:tcPr>
            <w:tcW w:w="1984" w:type="dxa"/>
          </w:tcPr>
          <w:p w:rsidR="00423A53" w:rsidRPr="00423A53" w:rsidRDefault="00423A53" w:rsidP="005F08A1">
            <w:pPr>
              <w:jc w:val="center"/>
              <w:rPr>
                <w:rFonts w:ascii="Times New Roman" w:hAnsi="Times New Roman" w:cs="Times New Roman"/>
                <w:b/>
                <w:sz w:val="20"/>
                <w:szCs w:val="20"/>
              </w:rPr>
            </w:pPr>
            <w:r w:rsidRPr="00423A53">
              <w:rPr>
                <w:rFonts w:ascii="Times New Roman" w:hAnsi="Times New Roman" w:cs="Times New Roman"/>
                <w:b/>
                <w:sz w:val="20"/>
                <w:szCs w:val="20"/>
              </w:rPr>
              <w:t>5,91</w:t>
            </w:r>
          </w:p>
        </w:tc>
      </w:tr>
      <w:tr w:rsidR="00423A53" w:rsidRPr="00575296" w:rsidTr="005F08A1">
        <w:tc>
          <w:tcPr>
            <w:tcW w:w="1668" w:type="dxa"/>
            <w:vMerge w:val="restart"/>
            <w:tcBorders>
              <w:top w:val="single" w:sz="12" w:space="0" w:color="auto"/>
            </w:tcBorders>
          </w:tcPr>
          <w:p w:rsidR="00423A53" w:rsidRPr="00423A53" w:rsidRDefault="00423A53" w:rsidP="005F08A1">
            <w:pPr>
              <w:rPr>
                <w:rFonts w:ascii="Times New Roman" w:hAnsi="Times New Roman" w:cs="Times New Roman"/>
                <w:sz w:val="20"/>
                <w:szCs w:val="20"/>
              </w:rPr>
            </w:pPr>
            <w:r w:rsidRPr="00423A53">
              <w:rPr>
                <w:rFonts w:ascii="Times New Roman" w:hAnsi="Times New Roman" w:cs="Times New Roman"/>
                <w:sz w:val="20"/>
                <w:szCs w:val="20"/>
              </w:rPr>
              <w:t>Respublikos rezultatai</w:t>
            </w:r>
          </w:p>
          <w:p w:rsidR="00423A53" w:rsidRPr="00423A53" w:rsidRDefault="00423A53" w:rsidP="005F08A1">
            <w:pPr>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423A53" w:rsidRPr="00423A53" w:rsidRDefault="00423A53" w:rsidP="005F08A1">
            <w:pPr>
              <w:jc w:val="center"/>
              <w:rPr>
                <w:rFonts w:ascii="Times New Roman" w:hAnsi="Times New Roman" w:cs="Times New Roman"/>
                <w:sz w:val="20"/>
                <w:szCs w:val="20"/>
              </w:rPr>
            </w:pPr>
            <w:r w:rsidRPr="00423A53">
              <w:rPr>
                <w:rFonts w:ascii="Times New Roman" w:hAnsi="Times New Roman" w:cs="Times New Roman"/>
                <w:sz w:val="20"/>
                <w:szCs w:val="20"/>
              </w:rPr>
              <w:t>2013–2014 m. m.</w:t>
            </w:r>
          </w:p>
        </w:tc>
        <w:tc>
          <w:tcPr>
            <w:tcW w:w="2268" w:type="dxa"/>
            <w:tcBorders>
              <w:top w:val="single" w:sz="4" w:space="0" w:color="auto"/>
              <w:left w:val="single" w:sz="4" w:space="0" w:color="auto"/>
              <w:bottom w:val="single" w:sz="4" w:space="0" w:color="auto"/>
              <w:right w:val="single" w:sz="4" w:space="0" w:color="auto"/>
            </w:tcBorders>
          </w:tcPr>
          <w:p w:rsidR="00423A53" w:rsidRPr="00423A53" w:rsidRDefault="00423A53" w:rsidP="005F08A1">
            <w:pPr>
              <w:jc w:val="center"/>
              <w:rPr>
                <w:rFonts w:ascii="Times New Roman" w:hAnsi="Times New Roman" w:cs="Times New Roman"/>
                <w:sz w:val="20"/>
                <w:szCs w:val="20"/>
              </w:rPr>
            </w:pPr>
            <w:r w:rsidRPr="00423A53">
              <w:rPr>
                <w:rFonts w:ascii="Times New Roman" w:hAnsi="Times New Roman" w:cs="Times New Roman"/>
                <w:sz w:val="20"/>
                <w:szCs w:val="20"/>
              </w:rPr>
              <w:t>5,56</w:t>
            </w:r>
          </w:p>
        </w:tc>
        <w:tc>
          <w:tcPr>
            <w:tcW w:w="1701" w:type="dxa"/>
            <w:tcBorders>
              <w:top w:val="single" w:sz="4" w:space="0" w:color="auto"/>
              <w:left w:val="single" w:sz="4" w:space="0" w:color="auto"/>
              <w:bottom w:val="single" w:sz="4" w:space="0" w:color="auto"/>
              <w:right w:val="single" w:sz="4" w:space="0" w:color="auto"/>
            </w:tcBorders>
          </w:tcPr>
          <w:p w:rsidR="00423A53" w:rsidRPr="00423A53" w:rsidRDefault="00423A53" w:rsidP="005F08A1">
            <w:pPr>
              <w:jc w:val="center"/>
              <w:rPr>
                <w:rFonts w:ascii="Times New Roman" w:hAnsi="Times New Roman" w:cs="Times New Roman"/>
                <w:sz w:val="20"/>
                <w:szCs w:val="20"/>
              </w:rPr>
            </w:pPr>
            <w:r w:rsidRPr="00423A53">
              <w:rPr>
                <w:rFonts w:ascii="Times New Roman" w:hAnsi="Times New Roman" w:cs="Times New Roman"/>
                <w:sz w:val="20"/>
                <w:szCs w:val="20"/>
              </w:rPr>
              <w:t>13,38</w:t>
            </w:r>
          </w:p>
        </w:tc>
        <w:tc>
          <w:tcPr>
            <w:tcW w:w="1984" w:type="dxa"/>
            <w:tcBorders>
              <w:top w:val="single" w:sz="4" w:space="0" w:color="auto"/>
              <w:left w:val="single" w:sz="4" w:space="0" w:color="auto"/>
              <w:bottom w:val="single" w:sz="4" w:space="0" w:color="auto"/>
              <w:right w:val="single" w:sz="4" w:space="0" w:color="auto"/>
            </w:tcBorders>
          </w:tcPr>
          <w:p w:rsidR="00423A53" w:rsidRPr="00423A53" w:rsidRDefault="00423A53" w:rsidP="005F08A1">
            <w:pPr>
              <w:jc w:val="center"/>
              <w:rPr>
                <w:rFonts w:ascii="Times New Roman" w:hAnsi="Times New Roman" w:cs="Times New Roman"/>
                <w:sz w:val="20"/>
                <w:szCs w:val="20"/>
              </w:rPr>
            </w:pPr>
            <w:r w:rsidRPr="00423A53">
              <w:rPr>
                <w:rFonts w:ascii="Times New Roman" w:hAnsi="Times New Roman" w:cs="Times New Roman"/>
                <w:sz w:val="20"/>
                <w:szCs w:val="20"/>
              </w:rPr>
              <w:t>6,32</w:t>
            </w:r>
          </w:p>
        </w:tc>
      </w:tr>
      <w:tr w:rsidR="00423A53" w:rsidRPr="00575296" w:rsidTr="005F08A1">
        <w:tc>
          <w:tcPr>
            <w:tcW w:w="1668" w:type="dxa"/>
            <w:vMerge/>
          </w:tcPr>
          <w:p w:rsidR="00423A53" w:rsidRPr="00423A53" w:rsidRDefault="00423A53" w:rsidP="005F08A1">
            <w:pPr>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423A53" w:rsidRPr="00423A53" w:rsidRDefault="00423A53" w:rsidP="005F08A1">
            <w:pPr>
              <w:jc w:val="center"/>
              <w:rPr>
                <w:rFonts w:ascii="Times New Roman" w:hAnsi="Times New Roman" w:cs="Times New Roman"/>
                <w:sz w:val="20"/>
                <w:szCs w:val="20"/>
              </w:rPr>
            </w:pPr>
            <w:r w:rsidRPr="00423A53">
              <w:rPr>
                <w:rFonts w:ascii="Times New Roman" w:hAnsi="Times New Roman" w:cs="Times New Roman"/>
                <w:sz w:val="20"/>
                <w:szCs w:val="20"/>
              </w:rPr>
              <w:t>2014–2015 m. m.</w:t>
            </w:r>
          </w:p>
        </w:tc>
        <w:tc>
          <w:tcPr>
            <w:tcW w:w="2268" w:type="dxa"/>
            <w:tcBorders>
              <w:top w:val="single" w:sz="4" w:space="0" w:color="auto"/>
              <w:left w:val="single" w:sz="4" w:space="0" w:color="auto"/>
              <w:bottom w:val="single" w:sz="4" w:space="0" w:color="auto"/>
              <w:right w:val="single" w:sz="4" w:space="0" w:color="auto"/>
            </w:tcBorders>
          </w:tcPr>
          <w:p w:rsidR="00423A53" w:rsidRPr="00423A53" w:rsidRDefault="00423A53" w:rsidP="005F08A1">
            <w:pPr>
              <w:jc w:val="center"/>
              <w:rPr>
                <w:rFonts w:ascii="Times New Roman" w:hAnsi="Times New Roman" w:cs="Times New Roman"/>
                <w:sz w:val="20"/>
                <w:szCs w:val="20"/>
              </w:rPr>
            </w:pPr>
            <w:r w:rsidRPr="00423A53">
              <w:rPr>
                <w:rFonts w:ascii="Times New Roman" w:hAnsi="Times New Roman" w:cs="Times New Roman"/>
                <w:sz w:val="20"/>
                <w:szCs w:val="20"/>
              </w:rPr>
              <w:t>4,65</w:t>
            </w:r>
          </w:p>
        </w:tc>
        <w:tc>
          <w:tcPr>
            <w:tcW w:w="1701" w:type="dxa"/>
            <w:tcBorders>
              <w:top w:val="single" w:sz="4" w:space="0" w:color="auto"/>
              <w:left w:val="single" w:sz="4" w:space="0" w:color="auto"/>
              <w:bottom w:val="single" w:sz="4" w:space="0" w:color="auto"/>
              <w:right w:val="single" w:sz="4" w:space="0" w:color="auto"/>
            </w:tcBorders>
          </w:tcPr>
          <w:p w:rsidR="00423A53" w:rsidRPr="00423A53" w:rsidRDefault="00423A53" w:rsidP="005F08A1">
            <w:pPr>
              <w:jc w:val="center"/>
              <w:rPr>
                <w:rFonts w:ascii="Times New Roman" w:hAnsi="Times New Roman" w:cs="Times New Roman"/>
                <w:sz w:val="20"/>
                <w:szCs w:val="20"/>
              </w:rPr>
            </w:pPr>
            <w:r w:rsidRPr="00423A53">
              <w:rPr>
                <w:rFonts w:ascii="Times New Roman" w:hAnsi="Times New Roman" w:cs="Times New Roman"/>
                <w:sz w:val="20"/>
                <w:szCs w:val="20"/>
              </w:rPr>
              <w:t>12,44</w:t>
            </w:r>
          </w:p>
        </w:tc>
        <w:tc>
          <w:tcPr>
            <w:tcW w:w="1984" w:type="dxa"/>
            <w:tcBorders>
              <w:top w:val="single" w:sz="4" w:space="0" w:color="auto"/>
              <w:left w:val="single" w:sz="4" w:space="0" w:color="auto"/>
              <w:bottom w:val="single" w:sz="4" w:space="0" w:color="auto"/>
              <w:right w:val="single" w:sz="4" w:space="0" w:color="auto"/>
            </w:tcBorders>
          </w:tcPr>
          <w:p w:rsidR="00423A53" w:rsidRPr="00423A53" w:rsidRDefault="00423A53" w:rsidP="005F08A1">
            <w:pPr>
              <w:jc w:val="center"/>
              <w:rPr>
                <w:rFonts w:ascii="Times New Roman" w:hAnsi="Times New Roman" w:cs="Times New Roman"/>
                <w:sz w:val="20"/>
                <w:szCs w:val="20"/>
              </w:rPr>
            </w:pPr>
            <w:r w:rsidRPr="00423A53">
              <w:rPr>
                <w:rFonts w:ascii="Times New Roman" w:hAnsi="Times New Roman" w:cs="Times New Roman"/>
                <w:sz w:val="20"/>
                <w:szCs w:val="20"/>
              </w:rPr>
              <w:t>6,33</w:t>
            </w:r>
          </w:p>
        </w:tc>
      </w:tr>
      <w:tr w:rsidR="00423A53" w:rsidRPr="00575296" w:rsidTr="005F08A1">
        <w:tc>
          <w:tcPr>
            <w:tcW w:w="1668" w:type="dxa"/>
            <w:vMerge/>
          </w:tcPr>
          <w:p w:rsidR="00423A53" w:rsidRPr="00423A53" w:rsidRDefault="00423A53" w:rsidP="005F08A1">
            <w:pPr>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423A53" w:rsidRPr="00423A53" w:rsidRDefault="00423A53" w:rsidP="005F08A1">
            <w:pPr>
              <w:jc w:val="center"/>
              <w:rPr>
                <w:rFonts w:ascii="Times New Roman" w:hAnsi="Times New Roman" w:cs="Times New Roman"/>
                <w:sz w:val="20"/>
                <w:szCs w:val="20"/>
              </w:rPr>
            </w:pPr>
            <w:r w:rsidRPr="00423A53">
              <w:rPr>
                <w:rFonts w:ascii="Times New Roman" w:hAnsi="Times New Roman" w:cs="Times New Roman"/>
                <w:sz w:val="20"/>
                <w:szCs w:val="20"/>
              </w:rPr>
              <w:t>2015–2016 m. m.</w:t>
            </w:r>
          </w:p>
        </w:tc>
        <w:tc>
          <w:tcPr>
            <w:tcW w:w="2268" w:type="dxa"/>
            <w:tcBorders>
              <w:top w:val="single" w:sz="4" w:space="0" w:color="auto"/>
              <w:left w:val="single" w:sz="4" w:space="0" w:color="auto"/>
              <w:bottom w:val="single" w:sz="4" w:space="0" w:color="auto"/>
              <w:right w:val="single" w:sz="4" w:space="0" w:color="auto"/>
            </w:tcBorders>
          </w:tcPr>
          <w:p w:rsidR="00423A53" w:rsidRPr="00423A53" w:rsidRDefault="00423A53" w:rsidP="005F08A1">
            <w:pPr>
              <w:jc w:val="center"/>
              <w:rPr>
                <w:rFonts w:ascii="Times New Roman" w:hAnsi="Times New Roman" w:cs="Times New Roman"/>
                <w:sz w:val="20"/>
                <w:szCs w:val="20"/>
              </w:rPr>
            </w:pPr>
            <w:r w:rsidRPr="00423A53">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423A53" w:rsidRPr="00423A53" w:rsidRDefault="00423A53" w:rsidP="005F08A1">
            <w:pPr>
              <w:jc w:val="center"/>
              <w:rPr>
                <w:rFonts w:ascii="Times New Roman" w:hAnsi="Times New Roman" w:cs="Times New Roman"/>
                <w:sz w:val="20"/>
                <w:szCs w:val="20"/>
              </w:rPr>
            </w:pPr>
            <w:r w:rsidRPr="00423A53">
              <w:rPr>
                <w:rFonts w:ascii="Times New Roman" w:hAnsi="Times New Roman" w:cs="Times New Roman"/>
                <w:sz w:val="20"/>
                <w:szCs w:val="20"/>
              </w:rPr>
              <w:t>15,5</w:t>
            </w:r>
          </w:p>
        </w:tc>
        <w:tc>
          <w:tcPr>
            <w:tcW w:w="1984" w:type="dxa"/>
            <w:tcBorders>
              <w:top w:val="single" w:sz="4" w:space="0" w:color="auto"/>
              <w:left w:val="single" w:sz="4" w:space="0" w:color="auto"/>
              <w:bottom w:val="single" w:sz="4" w:space="0" w:color="auto"/>
              <w:right w:val="single" w:sz="4" w:space="0" w:color="auto"/>
            </w:tcBorders>
          </w:tcPr>
          <w:p w:rsidR="00423A53" w:rsidRPr="00423A53" w:rsidRDefault="00423A53" w:rsidP="005F08A1">
            <w:pPr>
              <w:jc w:val="center"/>
              <w:rPr>
                <w:rFonts w:ascii="Times New Roman" w:hAnsi="Times New Roman" w:cs="Times New Roman"/>
                <w:sz w:val="20"/>
                <w:szCs w:val="20"/>
              </w:rPr>
            </w:pPr>
            <w:r w:rsidRPr="00423A53">
              <w:rPr>
                <w:rFonts w:ascii="Times New Roman" w:hAnsi="Times New Roman" w:cs="Times New Roman"/>
                <w:sz w:val="20"/>
                <w:szCs w:val="20"/>
              </w:rPr>
              <w:t>6,54</w:t>
            </w:r>
          </w:p>
        </w:tc>
      </w:tr>
      <w:tr w:rsidR="00423A53" w:rsidRPr="00575296" w:rsidTr="00F0412C">
        <w:trPr>
          <w:trHeight w:val="343"/>
        </w:trPr>
        <w:tc>
          <w:tcPr>
            <w:tcW w:w="1668" w:type="dxa"/>
            <w:vMerge/>
          </w:tcPr>
          <w:p w:rsidR="00423A53" w:rsidRPr="00423A53" w:rsidRDefault="00423A53" w:rsidP="005F08A1">
            <w:pPr>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423A53" w:rsidRPr="00423A53" w:rsidRDefault="00423A53" w:rsidP="005F08A1">
            <w:pPr>
              <w:jc w:val="center"/>
              <w:rPr>
                <w:rFonts w:ascii="Times New Roman" w:hAnsi="Times New Roman" w:cs="Times New Roman"/>
                <w:b/>
                <w:sz w:val="20"/>
                <w:szCs w:val="20"/>
              </w:rPr>
            </w:pPr>
            <w:r w:rsidRPr="00423A53">
              <w:rPr>
                <w:rFonts w:ascii="Times New Roman" w:hAnsi="Times New Roman" w:cs="Times New Roman"/>
                <w:b/>
                <w:sz w:val="20"/>
                <w:szCs w:val="20"/>
              </w:rPr>
              <w:t>2016 – 2017 m. m.</w:t>
            </w:r>
          </w:p>
        </w:tc>
        <w:tc>
          <w:tcPr>
            <w:tcW w:w="2268" w:type="dxa"/>
            <w:tcBorders>
              <w:top w:val="single" w:sz="4" w:space="0" w:color="auto"/>
              <w:left w:val="single" w:sz="4" w:space="0" w:color="auto"/>
              <w:bottom w:val="single" w:sz="4" w:space="0" w:color="auto"/>
              <w:right w:val="single" w:sz="4" w:space="0" w:color="auto"/>
            </w:tcBorders>
          </w:tcPr>
          <w:p w:rsidR="00423A53" w:rsidRPr="00423A53" w:rsidRDefault="00423A53" w:rsidP="005F08A1">
            <w:pPr>
              <w:jc w:val="center"/>
              <w:rPr>
                <w:rFonts w:ascii="Times New Roman" w:hAnsi="Times New Roman" w:cs="Times New Roman"/>
                <w:b/>
                <w:sz w:val="20"/>
                <w:szCs w:val="20"/>
              </w:rPr>
            </w:pPr>
            <w:r w:rsidRPr="00423A53">
              <w:rPr>
                <w:rFonts w:ascii="Times New Roman" w:hAnsi="Times New Roman" w:cs="Times New Roman"/>
                <w:b/>
                <w:sz w:val="20"/>
                <w:szCs w:val="20"/>
              </w:rPr>
              <w:t>3,4</w:t>
            </w:r>
          </w:p>
        </w:tc>
        <w:tc>
          <w:tcPr>
            <w:tcW w:w="1701" w:type="dxa"/>
            <w:tcBorders>
              <w:top w:val="single" w:sz="4" w:space="0" w:color="auto"/>
              <w:left w:val="single" w:sz="4" w:space="0" w:color="auto"/>
              <w:bottom w:val="single" w:sz="4" w:space="0" w:color="auto"/>
              <w:right w:val="single" w:sz="4" w:space="0" w:color="auto"/>
            </w:tcBorders>
          </w:tcPr>
          <w:p w:rsidR="00423A53" w:rsidRPr="00423A53" w:rsidRDefault="00423A53" w:rsidP="005F08A1">
            <w:pPr>
              <w:jc w:val="center"/>
              <w:rPr>
                <w:rFonts w:ascii="Times New Roman" w:hAnsi="Times New Roman" w:cs="Times New Roman"/>
                <w:b/>
                <w:sz w:val="20"/>
                <w:szCs w:val="20"/>
              </w:rPr>
            </w:pPr>
            <w:r w:rsidRPr="00423A53">
              <w:rPr>
                <w:rFonts w:ascii="Times New Roman" w:hAnsi="Times New Roman" w:cs="Times New Roman"/>
                <w:b/>
                <w:sz w:val="20"/>
                <w:szCs w:val="20"/>
              </w:rPr>
              <w:t>14,2</w:t>
            </w:r>
          </w:p>
        </w:tc>
        <w:tc>
          <w:tcPr>
            <w:tcW w:w="1984" w:type="dxa"/>
            <w:tcBorders>
              <w:top w:val="single" w:sz="4" w:space="0" w:color="auto"/>
              <w:left w:val="single" w:sz="4" w:space="0" w:color="auto"/>
              <w:bottom w:val="single" w:sz="4" w:space="0" w:color="auto"/>
              <w:right w:val="single" w:sz="4" w:space="0" w:color="auto"/>
            </w:tcBorders>
          </w:tcPr>
          <w:p w:rsidR="00423A53" w:rsidRPr="00423A53" w:rsidRDefault="00423A53" w:rsidP="005F08A1">
            <w:pPr>
              <w:jc w:val="center"/>
              <w:rPr>
                <w:rFonts w:ascii="Times New Roman" w:hAnsi="Times New Roman" w:cs="Times New Roman"/>
                <w:b/>
                <w:sz w:val="20"/>
                <w:szCs w:val="20"/>
              </w:rPr>
            </w:pPr>
            <w:r w:rsidRPr="00423A53">
              <w:rPr>
                <w:rFonts w:ascii="Times New Roman" w:hAnsi="Times New Roman" w:cs="Times New Roman"/>
                <w:b/>
                <w:sz w:val="20"/>
                <w:szCs w:val="20"/>
              </w:rPr>
              <w:t>6,49</w:t>
            </w:r>
          </w:p>
        </w:tc>
      </w:tr>
    </w:tbl>
    <w:p w:rsidR="0042561D" w:rsidRDefault="00506286" w:rsidP="00423A53">
      <w:pPr>
        <w:ind w:firstLine="567"/>
        <w:rPr>
          <w:rFonts w:ascii="Times New Roman" w:hAnsi="Times New Roman" w:cs="Times New Roman"/>
          <w:b/>
          <w:sz w:val="24"/>
          <w:szCs w:val="24"/>
        </w:rPr>
      </w:pPr>
      <w:r w:rsidRPr="00506286">
        <w:rPr>
          <w:rFonts w:ascii="Times New Roman" w:eastAsia="Calibri" w:hAnsi="Times New Roman" w:cs="Times New Roman"/>
          <w:sz w:val="24"/>
          <w:szCs w:val="24"/>
        </w:rPr>
        <w:br/>
      </w:r>
    </w:p>
    <w:p w:rsidR="00423A53" w:rsidRPr="000A6D65" w:rsidRDefault="00423A53" w:rsidP="00423A53">
      <w:pPr>
        <w:ind w:firstLine="567"/>
        <w:rPr>
          <w:rFonts w:ascii="Times New Roman" w:hAnsi="Times New Roman" w:cs="Times New Roman"/>
          <w:b/>
          <w:sz w:val="24"/>
          <w:szCs w:val="24"/>
        </w:rPr>
      </w:pPr>
      <w:r>
        <w:rPr>
          <w:rFonts w:ascii="Times New Roman" w:hAnsi="Times New Roman" w:cs="Times New Roman"/>
          <w:b/>
          <w:sz w:val="24"/>
          <w:szCs w:val="24"/>
        </w:rPr>
        <w:t>Matematikos</w:t>
      </w:r>
      <w:r w:rsidRPr="000A6D65">
        <w:rPr>
          <w:rFonts w:ascii="Times New Roman" w:hAnsi="Times New Roman" w:cs="Times New Roman"/>
          <w:b/>
          <w:sz w:val="24"/>
          <w:szCs w:val="24"/>
        </w:rPr>
        <w:t xml:space="preserve"> pagrindinio ugdymo pasiekimų patikrinimo 2013 – 2017 metų rezultatai: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268"/>
        <w:gridCol w:w="2268"/>
        <w:gridCol w:w="1701"/>
        <w:gridCol w:w="1984"/>
      </w:tblGrid>
      <w:tr w:rsidR="00423A53" w:rsidRPr="00C82B2F" w:rsidTr="00423A53">
        <w:trPr>
          <w:trHeight w:val="537"/>
        </w:trPr>
        <w:tc>
          <w:tcPr>
            <w:tcW w:w="1668" w:type="dxa"/>
            <w:vMerge w:val="restart"/>
          </w:tcPr>
          <w:p w:rsidR="00423A53" w:rsidRPr="00423A53" w:rsidRDefault="00423A53" w:rsidP="005F08A1">
            <w:pPr>
              <w:rPr>
                <w:rFonts w:ascii="Times New Roman" w:hAnsi="Times New Roman" w:cs="Times New Roman"/>
              </w:rPr>
            </w:pPr>
          </w:p>
        </w:tc>
        <w:tc>
          <w:tcPr>
            <w:tcW w:w="2268" w:type="dxa"/>
            <w:vMerge w:val="restart"/>
          </w:tcPr>
          <w:p w:rsidR="00423A53" w:rsidRPr="00423A53" w:rsidRDefault="00423A53" w:rsidP="005F08A1">
            <w:pPr>
              <w:pStyle w:val="NoSpacing"/>
              <w:jc w:val="center"/>
              <w:rPr>
                <w:rFonts w:ascii="Times New Roman" w:hAnsi="Times New Roman" w:cs="Times New Roman"/>
                <w:b/>
              </w:rPr>
            </w:pPr>
          </w:p>
          <w:p w:rsidR="00423A53" w:rsidRPr="00423A53" w:rsidRDefault="00423A53" w:rsidP="005F08A1">
            <w:pPr>
              <w:pStyle w:val="NoSpacing"/>
              <w:jc w:val="center"/>
              <w:rPr>
                <w:rFonts w:ascii="Times New Roman" w:hAnsi="Times New Roman" w:cs="Times New Roman"/>
                <w:b/>
              </w:rPr>
            </w:pPr>
            <w:r w:rsidRPr="00423A53">
              <w:rPr>
                <w:rFonts w:ascii="Times New Roman" w:hAnsi="Times New Roman" w:cs="Times New Roman"/>
                <w:b/>
              </w:rPr>
              <w:t>Mokslo metai</w:t>
            </w:r>
          </w:p>
        </w:tc>
        <w:tc>
          <w:tcPr>
            <w:tcW w:w="2268" w:type="dxa"/>
            <w:vMerge w:val="restart"/>
          </w:tcPr>
          <w:p w:rsidR="00423A53" w:rsidRPr="00423A53" w:rsidRDefault="00423A53" w:rsidP="005F08A1">
            <w:pPr>
              <w:pStyle w:val="NoSpacing"/>
              <w:jc w:val="center"/>
              <w:rPr>
                <w:rFonts w:ascii="Times New Roman" w:hAnsi="Times New Roman" w:cs="Times New Roman"/>
                <w:b/>
              </w:rPr>
            </w:pPr>
            <w:r w:rsidRPr="00423A53">
              <w:rPr>
                <w:rFonts w:ascii="Times New Roman" w:hAnsi="Times New Roman" w:cs="Times New Roman"/>
                <w:b/>
              </w:rPr>
              <w:t>Gavusių</w:t>
            </w:r>
          </w:p>
          <w:p w:rsidR="00423A53" w:rsidRPr="00423A53" w:rsidRDefault="00423A53" w:rsidP="005F08A1">
            <w:pPr>
              <w:pStyle w:val="NoSpacing"/>
              <w:jc w:val="center"/>
              <w:rPr>
                <w:rFonts w:ascii="Times New Roman" w:hAnsi="Times New Roman" w:cs="Times New Roman"/>
                <w:b/>
              </w:rPr>
            </w:pPr>
            <w:r w:rsidRPr="00423A53">
              <w:rPr>
                <w:rFonts w:ascii="Times New Roman" w:hAnsi="Times New Roman" w:cs="Times New Roman"/>
                <w:b/>
              </w:rPr>
              <w:t>1 - 3 balų įvertinimą (skaičiaus dalis proc.)</w:t>
            </w:r>
          </w:p>
        </w:tc>
        <w:tc>
          <w:tcPr>
            <w:tcW w:w="1701" w:type="dxa"/>
            <w:vMerge w:val="restart"/>
          </w:tcPr>
          <w:p w:rsidR="00423A53" w:rsidRPr="00423A53" w:rsidRDefault="00423A53" w:rsidP="005F08A1">
            <w:pPr>
              <w:pStyle w:val="NoSpacing"/>
              <w:jc w:val="center"/>
              <w:rPr>
                <w:rFonts w:ascii="Times New Roman" w:hAnsi="Times New Roman" w:cs="Times New Roman"/>
                <w:b/>
              </w:rPr>
            </w:pPr>
            <w:r w:rsidRPr="00423A53">
              <w:rPr>
                <w:rFonts w:ascii="Times New Roman" w:hAnsi="Times New Roman" w:cs="Times New Roman"/>
                <w:b/>
              </w:rPr>
              <w:t>Gavusių</w:t>
            </w:r>
          </w:p>
          <w:p w:rsidR="00423A53" w:rsidRPr="00423A53" w:rsidRDefault="00423A53" w:rsidP="005F08A1">
            <w:pPr>
              <w:pStyle w:val="NoSpacing"/>
              <w:jc w:val="center"/>
              <w:rPr>
                <w:rFonts w:ascii="Times New Roman" w:hAnsi="Times New Roman" w:cs="Times New Roman"/>
                <w:b/>
              </w:rPr>
            </w:pPr>
            <w:r w:rsidRPr="00423A53">
              <w:rPr>
                <w:rFonts w:ascii="Times New Roman" w:hAnsi="Times New Roman" w:cs="Times New Roman"/>
                <w:b/>
              </w:rPr>
              <w:t>9 - 10 balų įvertinimą (skaičiaus dalis proc.)</w:t>
            </w:r>
          </w:p>
        </w:tc>
        <w:tc>
          <w:tcPr>
            <w:tcW w:w="1984" w:type="dxa"/>
            <w:vMerge w:val="restart"/>
          </w:tcPr>
          <w:p w:rsidR="00423A53" w:rsidRPr="00423A53" w:rsidRDefault="00423A53" w:rsidP="005F08A1">
            <w:pPr>
              <w:pStyle w:val="NoSpacing"/>
              <w:jc w:val="center"/>
              <w:rPr>
                <w:rFonts w:ascii="Times New Roman" w:hAnsi="Times New Roman" w:cs="Times New Roman"/>
                <w:b/>
              </w:rPr>
            </w:pPr>
            <w:r w:rsidRPr="00423A53">
              <w:rPr>
                <w:rFonts w:ascii="Times New Roman" w:hAnsi="Times New Roman" w:cs="Times New Roman"/>
                <w:b/>
              </w:rPr>
              <w:t>Įvertinimų vidurkis</w:t>
            </w:r>
          </w:p>
        </w:tc>
      </w:tr>
      <w:tr w:rsidR="00423A53" w:rsidRPr="00C82B2F" w:rsidTr="00423A53">
        <w:trPr>
          <w:trHeight w:val="537"/>
        </w:trPr>
        <w:tc>
          <w:tcPr>
            <w:tcW w:w="1668" w:type="dxa"/>
            <w:vMerge/>
          </w:tcPr>
          <w:p w:rsidR="00423A53" w:rsidRPr="00423A53" w:rsidRDefault="00423A53" w:rsidP="005F08A1">
            <w:pPr>
              <w:rPr>
                <w:rFonts w:ascii="Times New Roman" w:hAnsi="Times New Roman" w:cs="Times New Roman"/>
              </w:rPr>
            </w:pPr>
          </w:p>
        </w:tc>
        <w:tc>
          <w:tcPr>
            <w:tcW w:w="2268" w:type="dxa"/>
            <w:vMerge/>
          </w:tcPr>
          <w:p w:rsidR="00423A53" w:rsidRPr="00423A53" w:rsidRDefault="00423A53" w:rsidP="005F08A1">
            <w:pPr>
              <w:rPr>
                <w:rFonts w:ascii="Times New Roman" w:hAnsi="Times New Roman" w:cs="Times New Roman"/>
              </w:rPr>
            </w:pPr>
          </w:p>
        </w:tc>
        <w:tc>
          <w:tcPr>
            <w:tcW w:w="2268" w:type="dxa"/>
            <w:vMerge/>
          </w:tcPr>
          <w:p w:rsidR="00423A53" w:rsidRPr="00423A53" w:rsidRDefault="00423A53" w:rsidP="005F08A1">
            <w:pPr>
              <w:rPr>
                <w:rFonts w:ascii="Times New Roman" w:hAnsi="Times New Roman" w:cs="Times New Roman"/>
              </w:rPr>
            </w:pPr>
          </w:p>
        </w:tc>
        <w:tc>
          <w:tcPr>
            <w:tcW w:w="1701" w:type="dxa"/>
            <w:vMerge/>
          </w:tcPr>
          <w:p w:rsidR="00423A53" w:rsidRPr="00423A53" w:rsidRDefault="00423A53" w:rsidP="005F08A1">
            <w:pPr>
              <w:rPr>
                <w:rFonts w:ascii="Times New Roman" w:hAnsi="Times New Roman" w:cs="Times New Roman"/>
              </w:rPr>
            </w:pPr>
          </w:p>
        </w:tc>
        <w:tc>
          <w:tcPr>
            <w:tcW w:w="1984" w:type="dxa"/>
            <w:vMerge/>
          </w:tcPr>
          <w:p w:rsidR="00423A53" w:rsidRPr="00423A53" w:rsidRDefault="00423A53" w:rsidP="005F08A1">
            <w:pPr>
              <w:rPr>
                <w:rFonts w:ascii="Times New Roman" w:hAnsi="Times New Roman" w:cs="Times New Roman"/>
              </w:rPr>
            </w:pPr>
          </w:p>
        </w:tc>
      </w:tr>
      <w:tr w:rsidR="00423A53" w:rsidRPr="00C82B2F" w:rsidTr="00423A53">
        <w:tc>
          <w:tcPr>
            <w:tcW w:w="1668" w:type="dxa"/>
            <w:vMerge w:val="restart"/>
          </w:tcPr>
          <w:p w:rsidR="00423A53" w:rsidRPr="00423A53" w:rsidRDefault="00423A53" w:rsidP="005F08A1">
            <w:pPr>
              <w:rPr>
                <w:rFonts w:ascii="Times New Roman" w:hAnsi="Times New Roman" w:cs="Times New Roman"/>
              </w:rPr>
            </w:pPr>
            <w:r w:rsidRPr="00423A53">
              <w:rPr>
                <w:rFonts w:ascii="Times New Roman" w:hAnsi="Times New Roman" w:cs="Times New Roman"/>
              </w:rPr>
              <w:t>Respublikos rezultatai</w:t>
            </w:r>
          </w:p>
        </w:tc>
        <w:tc>
          <w:tcPr>
            <w:tcW w:w="2268" w:type="dxa"/>
          </w:tcPr>
          <w:p w:rsidR="00423A53" w:rsidRPr="00423A53" w:rsidRDefault="00423A53" w:rsidP="005F08A1">
            <w:pPr>
              <w:pStyle w:val="NoSpacing"/>
              <w:rPr>
                <w:rFonts w:ascii="Times New Roman" w:hAnsi="Times New Roman" w:cs="Times New Roman"/>
              </w:rPr>
            </w:pPr>
            <w:r w:rsidRPr="00423A53">
              <w:rPr>
                <w:rFonts w:ascii="Times New Roman" w:hAnsi="Times New Roman" w:cs="Times New Roman"/>
              </w:rPr>
              <w:t>2013 –2014 m. m.</w:t>
            </w:r>
          </w:p>
        </w:tc>
        <w:tc>
          <w:tcPr>
            <w:tcW w:w="2268" w:type="dxa"/>
          </w:tcPr>
          <w:p w:rsidR="00423A53" w:rsidRPr="00423A53" w:rsidRDefault="00423A53" w:rsidP="005F08A1">
            <w:pPr>
              <w:jc w:val="center"/>
              <w:rPr>
                <w:rFonts w:ascii="Times New Roman" w:hAnsi="Times New Roman" w:cs="Times New Roman"/>
              </w:rPr>
            </w:pPr>
            <w:r w:rsidRPr="00423A53">
              <w:rPr>
                <w:rFonts w:ascii="Times New Roman" w:hAnsi="Times New Roman" w:cs="Times New Roman"/>
              </w:rPr>
              <w:t>16,26</w:t>
            </w:r>
          </w:p>
        </w:tc>
        <w:tc>
          <w:tcPr>
            <w:tcW w:w="1701" w:type="dxa"/>
          </w:tcPr>
          <w:p w:rsidR="00423A53" w:rsidRPr="00423A53" w:rsidRDefault="00423A53" w:rsidP="005F08A1">
            <w:pPr>
              <w:jc w:val="center"/>
              <w:rPr>
                <w:rFonts w:ascii="Times New Roman" w:hAnsi="Times New Roman" w:cs="Times New Roman"/>
              </w:rPr>
            </w:pPr>
            <w:r w:rsidRPr="00423A53">
              <w:rPr>
                <w:rFonts w:ascii="Times New Roman" w:hAnsi="Times New Roman" w:cs="Times New Roman"/>
              </w:rPr>
              <w:t>17,92</w:t>
            </w:r>
          </w:p>
        </w:tc>
        <w:tc>
          <w:tcPr>
            <w:tcW w:w="1984" w:type="dxa"/>
          </w:tcPr>
          <w:p w:rsidR="00423A53" w:rsidRPr="00423A53" w:rsidRDefault="00423A53" w:rsidP="005F08A1">
            <w:pPr>
              <w:jc w:val="center"/>
              <w:rPr>
                <w:rFonts w:ascii="Times New Roman" w:hAnsi="Times New Roman" w:cs="Times New Roman"/>
              </w:rPr>
            </w:pPr>
            <w:r w:rsidRPr="00423A53">
              <w:rPr>
                <w:rFonts w:ascii="Times New Roman" w:hAnsi="Times New Roman" w:cs="Times New Roman"/>
              </w:rPr>
              <w:t>5,86</w:t>
            </w:r>
          </w:p>
        </w:tc>
      </w:tr>
      <w:tr w:rsidR="00423A53" w:rsidRPr="00C82B2F" w:rsidTr="00423A53">
        <w:tc>
          <w:tcPr>
            <w:tcW w:w="1668" w:type="dxa"/>
            <w:vMerge/>
          </w:tcPr>
          <w:p w:rsidR="00423A53" w:rsidRPr="00423A53" w:rsidRDefault="00423A53" w:rsidP="005F08A1">
            <w:pPr>
              <w:rPr>
                <w:rFonts w:ascii="Times New Roman" w:hAnsi="Times New Roman" w:cs="Times New Roman"/>
              </w:rPr>
            </w:pPr>
          </w:p>
        </w:tc>
        <w:tc>
          <w:tcPr>
            <w:tcW w:w="2268" w:type="dxa"/>
          </w:tcPr>
          <w:p w:rsidR="00423A53" w:rsidRPr="00423A53" w:rsidRDefault="00423A53" w:rsidP="005F08A1">
            <w:pPr>
              <w:pStyle w:val="NoSpacing"/>
              <w:rPr>
                <w:rFonts w:ascii="Times New Roman" w:hAnsi="Times New Roman" w:cs="Times New Roman"/>
              </w:rPr>
            </w:pPr>
            <w:r w:rsidRPr="00423A53">
              <w:rPr>
                <w:rFonts w:ascii="Times New Roman" w:hAnsi="Times New Roman" w:cs="Times New Roman"/>
              </w:rPr>
              <w:t>2014 – 2015 m. m.</w:t>
            </w:r>
          </w:p>
        </w:tc>
        <w:tc>
          <w:tcPr>
            <w:tcW w:w="2268" w:type="dxa"/>
          </w:tcPr>
          <w:p w:rsidR="00423A53" w:rsidRPr="00423A53" w:rsidRDefault="00423A53" w:rsidP="005F08A1">
            <w:pPr>
              <w:jc w:val="center"/>
              <w:rPr>
                <w:rFonts w:ascii="Times New Roman" w:hAnsi="Times New Roman" w:cs="Times New Roman"/>
              </w:rPr>
            </w:pPr>
            <w:r w:rsidRPr="00423A53">
              <w:rPr>
                <w:rFonts w:ascii="Times New Roman" w:hAnsi="Times New Roman" w:cs="Times New Roman"/>
              </w:rPr>
              <w:t>22,83</w:t>
            </w:r>
          </w:p>
        </w:tc>
        <w:tc>
          <w:tcPr>
            <w:tcW w:w="1701" w:type="dxa"/>
          </w:tcPr>
          <w:p w:rsidR="00423A53" w:rsidRPr="00423A53" w:rsidRDefault="00423A53" w:rsidP="005F08A1">
            <w:pPr>
              <w:jc w:val="center"/>
              <w:rPr>
                <w:rFonts w:ascii="Times New Roman" w:hAnsi="Times New Roman" w:cs="Times New Roman"/>
              </w:rPr>
            </w:pPr>
            <w:r w:rsidRPr="00423A53">
              <w:rPr>
                <w:rFonts w:ascii="Times New Roman" w:hAnsi="Times New Roman" w:cs="Times New Roman"/>
              </w:rPr>
              <w:t>16,16</w:t>
            </w:r>
          </w:p>
        </w:tc>
        <w:tc>
          <w:tcPr>
            <w:tcW w:w="1984" w:type="dxa"/>
          </w:tcPr>
          <w:p w:rsidR="00423A53" w:rsidRPr="00423A53" w:rsidRDefault="00423A53" w:rsidP="005F08A1">
            <w:pPr>
              <w:jc w:val="center"/>
              <w:rPr>
                <w:rFonts w:ascii="Times New Roman" w:hAnsi="Times New Roman" w:cs="Times New Roman"/>
              </w:rPr>
            </w:pPr>
            <w:r w:rsidRPr="00423A53">
              <w:rPr>
                <w:rFonts w:ascii="Times New Roman" w:hAnsi="Times New Roman" w:cs="Times New Roman"/>
              </w:rPr>
              <w:t>5,55</w:t>
            </w:r>
          </w:p>
        </w:tc>
      </w:tr>
      <w:tr w:rsidR="00423A53" w:rsidRPr="00C82B2F" w:rsidTr="00423A53">
        <w:trPr>
          <w:trHeight w:val="231"/>
        </w:trPr>
        <w:tc>
          <w:tcPr>
            <w:tcW w:w="1668" w:type="dxa"/>
            <w:vMerge/>
          </w:tcPr>
          <w:p w:rsidR="00423A53" w:rsidRPr="00423A53" w:rsidRDefault="00423A53" w:rsidP="005F08A1">
            <w:pPr>
              <w:rPr>
                <w:rFonts w:ascii="Times New Roman" w:hAnsi="Times New Roman" w:cs="Times New Roman"/>
              </w:rPr>
            </w:pPr>
          </w:p>
        </w:tc>
        <w:tc>
          <w:tcPr>
            <w:tcW w:w="2268" w:type="dxa"/>
          </w:tcPr>
          <w:p w:rsidR="00423A53" w:rsidRPr="00423A53" w:rsidRDefault="00423A53" w:rsidP="005F08A1">
            <w:pPr>
              <w:pStyle w:val="NoSpacing"/>
              <w:rPr>
                <w:rFonts w:ascii="Times New Roman" w:hAnsi="Times New Roman" w:cs="Times New Roman"/>
              </w:rPr>
            </w:pPr>
            <w:r w:rsidRPr="00423A53">
              <w:rPr>
                <w:rFonts w:ascii="Times New Roman" w:hAnsi="Times New Roman" w:cs="Times New Roman"/>
              </w:rPr>
              <w:t xml:space="preserve">2015 – 2016 m. m. </w:t>
            </w:r>
          </w:p>
        </w:tc>
        <w:tc>
          <w:tcPr>
            <w:tcW w:w="2268" w:type="dxa"/>
          </w:tcPr>
          <w:p w:rsidR="00423A53" w:rsidRPr="00423A53" w:rsidRDefault="00423A53" w:rsidP="005F08A1">
            <w:pPr>
              <w:jc w:val="center"/>
              <w:rPr>
                <w:rFonts w:ascii="Times New Roman" w:hAnsi="Times New Roman" w:cs="Times New Roman"/>
              </w:rPr>
            </w:pPr>
            <w:r w:rsidRPr="00423A53">
              <w:rPr>
                <w:rFonts w:ascii="Times New Roman" w:hAnsi="Times New Roman" w:cs="Times New Roman"/>
              </w:rPr>
              <w:t>15,5</w:t>
            </w:r>
          </w:p>
        </w:tc>
        <w:tc>
          <w:tcPr>
            <w:tcW w:w="1701" w:type="dxa"/>
          </w:tcPr>
          <w:p w:rsidR="00423A53" w:rsidRPr="00423A53" w:rsidRDefault="00423A53" w:rsidP="005F08A1">
            <w:pPr>
              <w:jc w:val="center"/>
              <w:rPr>
                <w:rFonts w:ascii="Times New Roman" w:hAnsi="Times New Roman" w:cs="Times New Roman"/>
              </w:rPr>
            </w:pPr>
            <w:r w:rsidRPr="00423A53">
              <w:rPr>
                <w:rFonts w:ascii="Times New Roman" w:hAnsi="Times New Roman" w:cs="Times New Roman"/>
              </w:rPr>
              <w:t>14,6</w:t>
            </w:r>
          </w:p>
        </w:tc>
        <w:tc>
          <w:tcPr>
            <w:tcW w:w="1984" w:type="dxa"/>
          </w:tcPr>
          <w:p w:rsidR="00423A53" w:rsidRPr="00423A53" w:rsidRDefault="00423A53" w:rsidP="005F08A1">
            <w:pPr>
              <w:jc w:val="center"/>
              <w:rPr>
                <w:rFonts w:ascii="Times New Roman" w:hAnsi="Times New Roman" w:cs="Times New Roman"/>
              </w:rPr>
            </w:pPr>
            <w:r w:rsidRPr="00423A53">
              <w:rPr>
                <w:rFonts w:ascii="Times New Roman" w:hAnsi="Times New Roman" w:cs="Times New Roman"/>
              </w:rPr>
              <w:t>5,76</w:t>
            </w:r>
          </w:p>
        </w:tc>
      </w:tr>
      <w:tr w:rsidR="00423A53" w:rsidRPr="00C82B2F" w:rsidTr="00423A53">
        <w:trPr>
          <w:trHeight w:val="258"/>
        </w:trPr>
        <w:tc>
          <w:tcPr>
            <w:tcW w:w="1668" w:type="dxa"/>
            <w:vMerge/>
          </w:tcPr>
          <w:p w:rsidR="00423A53" w:rsidRPr="00423A53" w:rsidRDefault="00423A53" w:rsidP="005F08A1">
            <w:pPr>
              <w:rPr>
                <w:rFonts w:ascii="Times New Roman" w:hAnsi="Times New Roman" w:cs="Times New Roman"/>
              </w:rPr>
            </w:pPr>
          </w:p>
        </w:tc>
        <w:tc>
          <w:tcPr>
            <w:tcW w:w="2268" w:type="dxa"/>
          </w:tcPr>
          <w:p w:rsidR="00423A53" w:rsidRPr="00423A53" w:rsidRDefault="00423A53" w:rsidP="005F08A1">
            <w:pPr>
              <w:pStyle w:val="NoSpacing"/>
              <w:rPr>
                <w:rFonts w:ascii="Times New Roman" w:hAnsi="Times New Roman" w:cs="Times New Roman"/>
                <w:b/>
              </w:rPr>
            </w:pPr>
            <w:r w:rsidRPr="00423A53">
              <w:rPr>
                <w:rFonts w:ascii="Times New Roman" w:hAnsi="Times New Roman" w:cs="Times New Roman"/>
                <w:b/>
              </w:rPr>
              <w:t xml:space="preserve">2016 – 2017 m. m. </w:t>
            </w:r>
          </w:p>
        </w:tc>
        <w:tc>
          <w:tcPr>
            <w:tcW w:w="2268" w:type="dxa"/>
          </w:tcPr>
          <w:p w:rsidR="00423A53" w:rsidRPr="00423A53" w:rsidRDefault="00423A53" w:rsidP="005F08A1">
            <w:pPr>
              <w:jc w:val="center"/>
              <w:rPr>
                <w:rFonts w:ascii="Times New Roman" w:hAnsi="Times New Roman" w:cs="Times New Roman"/>
                <w:b/>
              </w:rPr>
            </w:pPr>
            <w:r w:rsidRPr="00423A53">
              <w:rPr>
                <w:rFonts w:ascii="Times New Roman" w:hAnsi="Times New Roman" w:cs="Times New Roman"/>
                <w:b/>
              </w:rPr>
              <w:t>16,9</w:t>
            </w:r>
          </w:p>
        </w:tc>
        <w:tc>
          <w:tcPr>
            <w:tcW w:w="1701" w:type="dxa"/>
          </w:tcPr>
          <w:p w:rsidR="00423A53" w:rsidRPr="00423A53" w:rsidRDefault="00423A53" w:rsidP="005F08A1">
            <w:pPr>
              <w:jc w:val="center"/>
              <w:rPr>
                <w:rFonts w:ascii="Times New Roman" w:hAnsi="Times New Roman" w:cs="Times New Roman"/>
                <w:b/>
              </w:rPr>
            </w:pPr>
            <w:r w:rsidRPr="00423A53">
              <w:rPr>
                <w:rFonts w:ascii="Times New Roman" w:hAnsi="Times New Roman" w:cs="Times New Roman"/>
                <w:b/>
              </w:rPr>
              <w:t>20,2</w:t>
            </w:r>
          </w:p>
        </w:tc>
        <w:tc>
          <w:tcPr>
            <w:tcW w:w="1984" w:type="dxa"/>
          </w:tcPr>
          <w:p w:rsidR="00423A53" w:rsidRPr="00423A53" w:rsidRDefault="00423A53" w:rsidP="005F08A1">
            <w:pPr>
              <w:jc w:val="center"/>
              <w:rPr>
                <w:rFonts w:ascii="Times New Roman" w:hAnsi="Times New Roman" w:cs="Times New Roman"/>
                <w:b/>
              </w:rPr>
            </w:pPr>
            <w:r w:rsidRPr="00423A53">
              <w:rPr>
                <w:rFonts w:ascii="Times New Roman" w:hAnsi="Times New Roman" w:cs="Times New Roman"/>
                <w:b/>
              </w:rPr>
              <w:t>5,84</w:t>
            </w:r>
          </w:p>
        </w:tc>
      </w:tr>
      <w:tr w:rsidR="00423A53" w:rsidRPr="00C82B2F" w:rsidTr="00423A53">
        <w:tc>
          <w:tcPr>
            <w:tcW w:w="1668" w:type="dxa"/>
            <w:vMerge w:val="restart"/>
          </w:tcPr>
          <w:p w:rsidR="00423A53" w:rsidRPr="00423A53" w:rsidRDefault="00423A53" w:rsidP="005F08A1">
            <w:pPr>
              <w:rPr>
                <w:rFonts w:ascii="Times New Roman" w:hAnsi="Times New Roman" w:cs="Times New Roman"/>
              </w:rPr>
            </w:pPr>
            <w:r w:rsidRPr="00423A53">
              <w:rPr>
                <w:rFonts w:ascii="Times New Roman" w:hAnsi="Times New Roman" w:cs="Times New Roman"/>
              </w:rPr>
              <w:t>Rajono rezultatai</w:t>
            </w:r>
          </w:p>
          <w:p w:rsidR="00423A53" w:rsidRPr="00423A53" w:rsidRDefault="00423A53" w:rsidP="005F08A1">
            <w:pPr>
              <w:rPr>
                <w:rFonts w:ascii="Times New Roman" w:hAnsi="Times New Roman" w:cs="Times New Roman"/>
              </w:rPr>
            </w:pPr>
          </w:p>
        </w:tc>
        <w:tc>
          <w:tcPr>
            <w:tcW w:w="2268" w:type="dxa"/>
          </w:tcPr>
          <w:p w:rsidR="00423A53" w:rsidRPr="00423A53" w:rsidRDefault="00423A53" w:rsidP="005F08A1">
            <w:pPr>
              <w:pStyle w:val="NoSpacing"/>
              <w:rPr>
                <w:rFonts w:ascii="Times New Roman" w:hAnsi="Times New Roman" w:cs="Times New Roman"/>
              </w:rPr>
            </w:pPr>
            <w:r w:rsidRPr="00423A53">
              <w:rPr>
                <w:rFonts w:ascii="Times New Roman" w:hAnsi="Times New Roman" w:cs="Times New Roman"/>
              </w:rPr>
              <w:t>2013 – 2014 m. m.</w:t>
            </w:r>
          </w:p>
        </w:tc>
        <w:tc>
          <w:tcPr>
            <w:tcW w:w="2268" w:type="dxa"/>
          </w:tcPr>
          <w:p w:rsidR="00423A53" w:rsidRPr="00423A53" w:rsidRDefault="00423A53" w:rsidP="005F08A1">
            <w:pPr>
              <w:jc w:val="center"/>
              <w:rPr>
                <w:rFonts w:ascii="Times New Roman" w:hAnsi="Times New Roman" w:cs="Times New Roman"/>
              </w:rPr>
            </w:pPr>
            <w:r w:rsidRPr="00423A53">
              <w:rPr>
                <w:rFonts w:ascii="Times New Roman" w:hAnsi="Times New Roman" w:cs="Times New Roman"/>
              </w:rPr>
              <w:t>23,19</w:t>
            </w:r>
          </w:p>
        </w:tc>
        <w:tc>
          <w:tcPr>
            <w:tcW w:w="1701" w:type="dxa"/>
          </w:tcPr>
          <w:p w:rsidR="00423A53" w:rsidRPr="00423A53" w:rsidRDefault="00423A53" w:rsidP="005F08A1">
            <w:pPr>
              <w:jc w:val="center"/>
              <w:rPr>
                <w:rFonts w:ascii="Times New Roman" w:hAnsi="Times New Roman" w:cs="Times New Roman"/>
              </w:rPr>
            </w:pPr>
            <w:r w:rsidRPr="00423A53">
              <w:rPr>
                <w:rFonts w:ascii="Times New Roman" w:hAnsi="Times New Roman" w:cs="Times New Roman"/>
              </w:rPr>
              <w:t>11,79</w:t>
            </w:r>
          </w:p>
        </w:tc>
        <w:tc>
          <w:tcPr>
            <w:tcW w:w="1984" w:type="dxa"/>
          </w:tcPr>
          <w:p w:rsidR="00423A53" w:rsidRPr="00423A53" w:rsidRDefault="00423A53" w:rsidP="005F08A1">
            <w:pPr>
              <w:jc w:val="center"/>
              <w:rPr>
                <w:rFonts w:ascii="Times New Roman" w:hAnsi="Times New Roman" w:cs="Times New Roman"/>
              </w:rPr>
            </w:pPr>
            <w:r w:rsidRPr="00423A53">
              <w:rPr>
                <w:rFonts w:ascii="Times New Roman" w:hAnsi="Times New Roman" w:cs="Times New Roman"/>
              </w:rPr>
              <w:t>5,33</w:t>
            </w:r>
          </w:p>
        </w:tc>
      </w:tr>
      <w:tr w:rsidR="00423A53" w:rsidRPr="00C82B2F" w:rsidTr="00423A53">
        <w:trPr>
          <w:trHeight w:val="435"/>
        </w:trPr>
        <w:tc>
          <w:tcPr>
            <w:tcW w:w="1668" w:type="dxa"/>
            <w:vMerge/>
          </w:tcPr>
          <w:p w:rsidR="00423A53" w:rsidRPr="00423A53" w:rsidRDefault="00423A53" w:rsidP="005F08A1">
            <w:pPr>
              <w:rPr>
                <w:rFonts w:ascii="Times New Roman" w:hAnsi="Times New Roman" w:cs="Times New Roman"/>
              </w:rPr>
            </w:pPr>
          </w:p>
        </w:tc>
        <w:tc>
          <w:tcPr>
            <w:tcW w:w="2268" w:type="dxa"/>
          </w:tcPr>
          <w:p w:rsidR="00423A53" w:rsidRPr="00423A53" w:rsidRDefault="00423A53" w:rsidP="005F08A1">
            <w:pPr>
              <w:pStyle w:val="NoSpacing"/>
              <w:rPr>
                <w:rFonts w:ascii="Times New Roman" w:hAnsi="Times New Roman" w:cs="Times New Roman"/>
              </w:rPr>
            </w:pPr>
            <w:r w:rsidRPr="00423A53">
              <w:rPr>
                <w:rFonts w:ascii="Times New Roman" w:hAnsi="Times New Roman" w:cs="Times New Roman"/>
              </w:rPr>
              <w:t>2014-2015 m. m.</w:t>
            </w:r>
          </w:p>
        </w:tc>
        <w:tc>
          <w:tcPr>
            <w:tcW w:w="2268" w:type="dxa"/>
          </w:tcPr>
          <w:p w:rsidR="00423A53" w:rsidRPr="00423A53" w:rsidRDefault="00423A53" w:rsidP="005F08A1">
            <w:pPr>
              <w:jc w:val="center"/>
              <w:rPr>
                <w:rFonts w:ascii="Times New Roman" w:hAnsi="Times New Roman" w:cs="Times New Roman"/>
              </w:rPr>
            </w:pPr>
            <w:r w:rsidRPr="00423A53">
              <w:rPr>
                <w:rFonts w:ascii="Times New Roman" w:hAnsi="Times New Roman" w:cs="Times New Roman"/>
              </w:rPr>
              <w:t>36,75</w:t>
            </w:r>
          </w:p>
        </w:tc>
        <w:tc>
          <w:tcPr>
            <w:tcW w:w="1701" w:type="dxa"/>
          </w:tcPr>
          <w:p w:rsidR="00423A53" w:rsidRPr="00423A53" w:rsidRDefault="00423A53" w:rsidP="005F08A1">
            <w:pPr>
              <w:jc w:val="center"/>
              <w:rPr>
                <w:rFonts w:ascii="Times New Roman" w:hAnsi="Times New Roman" w:cs="Times New Roman"/>
              </w:rPr>
            </w:pPr>
            <w:r w:rsidRPr="00423A53">
              <w:rPr>
                <w:rFonts w:ascii="Times New Roman" w:hAnsi="Times New Roman" w:cs="Times New Roman"/>
              </w:rPr>
              <w:t>9,54</w:t>
            </w:r>
          </w:p>
        </w:tc>
        <w:tc>
          <w:tcPr>
            <w:tcW w:w="1984" w:type="dxa"/>
          </w:tcPr>
          <w:p w:rsidR="00423A53" w:rsidRPr="00423A53" w:rsidRDefault="00423A53" w:rsidP="005F08A1">
            <w:pPr>
              <w:jc w:val="center"/>
              <w:rPr>
                <w:rFonts w:ascii="Times New Roman" w:hAnsi="Times New Roman" w:cs="Times New Roman"/>
              </w:rPr>
            </w:pPr>
            <w:r w:rsidRPr="00423A53">
              <w:rPr>
                <w:rFonts w:ascii="Times New Roman" w:hAnsi="Times New Roman" w:cs="Times New Roman"/>
              </w:rPr>
              <w:t>4,78</w:t>
            </w:r>
          </w:p>
        </w:tc>
      </w:tr>
      <w:tr w:rsidR="00423A53" w:rsidRPr="00C82B2F" w:rsidTr="00423A53">
        <w:trPr>
          <w:trHeight w:val="543"/>
        </w:trPr>
        <w:tc>
          <w:tcPr>
            <w:tcW w:w="1668" w:type="dxa"/>
            <w:vMerge/>
          </w:tcPr>
          <w:p w:rsidR="00423A53" w:rsidRPr="00423A53" w:rsidRDefault="00423A53" w:rsidP="005F08A1">
            <w:pPr>
              <w:rPr>
                <w:rFonts w:ascii="Times New Roman" w:hAnsi="Times New Roman" w:cs="Times New Roman"/>
              </w:rPr>
            </w:pPr>
          </w:p>
        </w:tc>
        <w:tc>
          <w:tcPr>
            <w:tcW w:w="2268" w:type="dxa"/>
          </w:tcPr>
          <w:p w:rsidR="00423A53" w:rsidRPr="00423A53" w:rsidRDefault="00423A53" w:rsidP="005F08A1">
            <w:pPr>
              <w:pStyle w:val="NoSpacing"/>
              <w:rPr>
                <w:rFonts w:ascii="Times New Roman" w:hAnsi="Times New Roman" w:cs="Times New Roman"/>
              </w:rPr>
            </w:pPr>
            <w:r w:rsidRPr="00423A53">
              <w:rPr>
                <w:rFonts w:ascii="Times New Roman" w:hAnsi="Times New Roman" w:cs="Times New Roman"/>
              </w:rPr>
              <w:t xml:space="preserve">2015 – 2016 m. m.. </w:t>
            </w:r>
          </w:p>
        </w:tc>
        <w:tc>
          <w:tcPr>
            <w:tcW w:w="2268" w:type="dxa"/>
          </w:tcPr>
          <w:p w:rsidR="00423A53" w:rsidRPr="00423A53" w:rsidRDefault="00423A53" w:rsidP="005F08A1">
            <w:pPr>
              <w:jc w:val="center"/>
              <w:rPr>
                <w:rFonts w:ascii="Times New Roman" w:hAnsi="Times New Roman" w:cs="Times New Roman"/>
              </w:rPr>
            </w:pPr>
            <w:r w:rsidRPr="00423A53">
              <w:rPr>
                <w:rFonts w:ascii="Times New Roman" w:hAnsi="Times New Roman" w:cs="Times New Roman"/>
              </w:rPr>
              <w:t>26,7</w:t>
            </w:r>
          </w:p>
        </w:tc>
        <w:tc>
          <w:tcPr>
            <w:tcW w:w="1701" w:type="dxa"/>
          </w:tcPr>
          <w:p w:rsidR="00423A53" w:rsidRPr="00423A53" w:rsidRDefault="00423A53" w:rsidP="005F08A1">
            <w:pPr>
              <w:jc w:val="center"/>
              <w:rPr>
                <w:rFonts w:ascii="Times New Roman" w:hAnsi="Times New Roman" w:cs="Times New Roman"/>
              </w:rPr>
            </w:pPr>
            <w:r w:rsidRPr="00423A53">
              <w:rPr>
                <w:rFonts w:ascii="Times New Roman" w:hAnsi="Times New Roman" w:cs="Times New Roman"/>
              </w:rPr>
              <w:t>8,4</w:t>
            </w:r>
          </w:p>
        </w:tc>
        <w:tc>
          <w:tcPr>
            <w:tcW w:w="1984" w:type="dxa"/>
          </w:tcPr>
          <w:p w:rsidR="00423A53" w:rsidRPr="00423A53" w:rsidRDefault="00423A53" w:rsidP="005F08A1">
            <w:pPr>
              <w:jc w:val="center"/>
              <w:rPr>
                <w:rFonts w:ascii="Times New Roman" w:hAnsi="Times New Roman" w:cs="Times New Roman"/>
              </w:rPr>
            </w:pPr>
            <w:r w:rsidRPr="00423A53">
              <w:rPr>
                <w:rFonts w:ascii="Times New Roman" w:hAnsi="Times New Roman" w:cs="Times New Roman"/>
              </w:rPr>
              <w:t>5,05</w:t>
            </w:r>
          </w:p>
        </w:tc>
      </w:tr>
      <w:tr w:rsidR="00423A53" w:rsidRPr="00C82B2F" w:rsidTr="00423A53">
        <w:tc>
          <w:tcPr>
            <w:tcW w:w="1668" w:type="dxa"/>
            <w:vMerge/>
          </w:tcPr>
          <w:p w:rsidR="00423A53" w:rsidRPr="00423A53" w:rsidRDefault="00423A53" w:rsidP="005F08A1">
            <w:pPr>
              <w:rPr>
                <w:rFonts w:ascii="Times New Roman" w:hAnsi="Times New Roman" w:cs="Times New Roman"/>
              </w:rPr>
            </w:pPr>
          </w:p>
        </w:tc>
        <w:tc>
          <w:tcPr>
            <w:tcW w:w="2268" w:type="dxa"/>
          </w:tcPr>
          <w:p w:rsidR="00423A53" w:rsidRPr="00423A53" w:rsidRDefault="00423A53" w:rsidP="005F08A1">
            <w:pPr>
              <w:pStyle w:val="NoSpacing"/>
              <w:rPr>
                <w:rFonts w:ascii="Times New Roman" w:hAnsi="Times New Roman" w:cs="Times New Roman"/>
                <w:b/>
              </w:rPr>
            </w:pPr>
            <w:r w:rsidRPr="00423A53">
              <w:rPr>
                <w:rFonts w:ascii="Times New Roman" w:hAnsi="Times New Roman" w:cs="Times New Roman"/>
                <w:b/>
              </w:rPr>
              <w:t xml:space="preserve">2016 – 2017 m. m. </w:t>
            </w:r>
          </w:p>
        </w:tc>
        <w:tc>
          <w:tcPr>
            <w:tcW w:w="2268" w:type="dxa"/>
          </w:tcPr>
          <w:p w:rsidR="00423A53" w:rsidRPr="00423A53" w:rsidRDefault="00423A53" w:rsidP="005F08A1">
            <w:pPr>
              <w:jc w:val="center"/>
              <w:rPr>
                <w:rFonts w:ascii="Times New Roman" w:hAnsi="Times New Roman" w:cs="Times New Roman"/>
                <w:b/>
              </w:rPr>
            </w:pPr>
            <w:r w:rsidRPr="00423A53">
              <w:rPr>
                <w:rFonts w:ascii="Times New Roman" w:hAnsi="Times New Roman" w:cs="Times New Roman"/>
                <w:b/>
              </w:rPr>
              <w:t>31,6</w:t>
            </w:r>
          </w:p>
        </w:tc>
        <w:tc>
          <w:tcPr>
            <w:tcW w:w="1701" w:type="dxa"/>
          </w:tcPr>
          <w:p w:rsidR="00423A53" w:rsidRPr="00423A53" w:rsidRDefault="00423A53" w:rsidP="005F08A1">
            <w:pPr>
              <w:jc w:val="center"/>
              <w:rPr>
                <w:rFonts w:ascii="Times New Roman" w:hAnsi="Times New Roman" w:cs="Times New Roman"/>
                <w:b/>
              </w:rPr>
            </w:pPr>
            <w:r w:rsidRPr="00423A53">
              <w:rPr>
                <w:rFonts w:ascii="Times New Roman" w:hAnsi="Times New Roman" w:cs="Times New Roman"/>
                <w:b/>
              </w:rPr>
              <w:t>9,6</w:t>
            </w:r>
          </w:p>
        </w:tc>
        <w:tc>
          <w:tcPr>
            <w:tcW w:w="1984" w:type="dxa"/>
          </w:tcPr>
          <w:p w:rsidR="00423A53" w:rsidRPr="00423A53" w:rsidRDefault="00423A53" w:rsidP="005F08A1">
            <w:pPr>
              <w:jc w:val="center"/>
              <w:rPr>
                <w:rFonts w:ascii="Times New Roman" w:hAnsi="Times New Roman" w:cs="Times New Roman"/>
                <w:b/>
              </w:rPr>
            </w:pPr>
            <w:r w:rsidRPr="00423A53">
              <w:rPr>
                <w:rFonts w:ascii="Times New Roman" w:hAnsi="Times New Roman" w:cs="Times New Roman"/>
                <w:b/>
              </w:rPr>
              <w:t>4,71</w:t>
            </w:r>
          </w:p>
        </w:tc>
      </w:tr>
    </w:tbl>
    <w:p w:rsidR="00423A53" w:rsidRDefault="00423A53" w:rsidP="000746C7">
      <w:pPr>
        <w:pStyle w:val="NoSpacing"/>
        <w:spacing w:line="276" w:lineRule="auto"/>
        <w:rPr>
          <w:rFonts w:ascii="Times New Roman" w:eastAsia="Calibri" w:hAnsi="Times New Roman" w:cs="Times New Roman"/>
          <w:sz w:val="24"/>
          <w:szCs w:val="24"/>
        </w:rPr>
      </w:pPr>
    </w:p>
    <w:p w:rsidR="00013FEE" w:rsidRDefault="00423A53" w:rsidP="0042561D">
      <w:pPr>
        <w:pStyle w:val="NoSpacing"/>
        <w:tabs>
          <w:tab w:val="left" w:pos="0"/>
        </w:tabs>
        <w:spacing w:line="276" w:lineRule="auto"/>
        <w:rPr>
          <w:rFonts w:ascii="Times New Roman" w:eastAsia="Calibri" w:hAnsi="Times New Roman" w:cs="Times New Roman"/>
          <w:b/>
          <w:sz w:val="24"/>
          <w:szCs w:val="24"/>
        </w:rPr>
      </w:pPr>
      <w:r w:rsidRPr="00423A53">
        <w:rPr>
          <w:rFonts w:ascii="Times New Roman" w:eastAsia="Calibri" w:hAnsi="Times New Roman" w:cs="Times New Roman"/>
          <w:b/>
          <w:sz w:val="24"/>
          <w:szCs w:val="24"/>
        </w:rPr>
        <w:t xml:space="preserve">Išvada: </w:t>
      </w:r>
      <w:r>
        <w:rPr>
          <w:rFonts w:ascii="Times New Roman" w:eastAsia="Calibri" w:hAnsi="Times New Roman" w:cs="Times New Roman"/>
          <w:sz w:val="24"/>
          <w:szCs w:val="24"/>
        </w:rPr>
        <w:t>labiau prastėja matematikos PUPP rezultatai, lietuvių kalbos ir literatūros rezultatų prastėjimo rodiklis mažesnis. Mokinių, nepasiekusių patenkinamo lygmens, skaičius auga</w:t>
      </w:r>
      <w:r w:rsidR="00A1424A">
        <w:rPr>
          <w:rFonts w:ascii="Times New Roman" w:eastAsia="Calibri" w:hAnsi="Times New Roman" w:cs="Times New Roman"/>
          <w:sz w:val="24"/>
          <w:szCs w:val="24"/>
        </w:rPr>
        <w:t xml:space="preserve"> (pažanga nepadaryta)</w:t>
      </w:r>
      <w:r>
        <w:rPr>
          <w:rFonts w:ascii="Times New Roman" w:eastAsia="Calibri" w:hAnsi="Times New Roman" w:cs="Times New Roman"/>
          <w:sz w:val="24"/>
          <w:szCs w:val="24"/>
        </w:rPr>
        <w:t xml:space="preserve">. </w:t>
      </w:r>
      <w:r w:rsidR="00506286" w:rsidRPr="00506286">
        <w:rPr>
          <w:rFonts w:ascii="Times New Roman" w:eastAsia="Calibri" w:hAnsi="Times New Roman" w:cs="Times New Roman"/>
          <w:sz w:val="24"/>
          <w:szCs w:val="24"/>
        </w:rPr>
        <w:br/>
      </w:r>
    </w:p>
    <w:p w:rsidR="00F0412C" w:rsidRDefault="00D3047C" w:rsidP="0042561D">
      <w:pPr>
        <w:pStyle w:val="NoSpacing"/>
        <w:tabs>
          <w:tab w:val="left" w:pos="0"/>
        </w:tabs>
        <w:spacing w:line="276" w:lineRule="auto"/>
        <w:rPr>
          <w:rFonts w:ascii="Times New Roman" w:eastAsia="Calibri" w:hAnsi="Times New Roman" w:cs="Times New Roman"/>
          <w:b/>
          <w:sz w:val="24"/>
          <w:szCs w:val="24"/>
        </w:rPr>
      </w:pPr>
      <w:r w:rsidRPr="00D3047C">
        <w:rPr>
          <w:rFonts w:ascii="Times New Roman" w:eastAsia="Calibri" w:hAnsi="Times New Roman" w:cs="Times New Roman"/>
          <w:b/>
          <w:sz w:val="24"/>
          <w:szCs w:val="24"/>
        </w:rPr>
        <w:lastRenderedPageBreak/>
        <w:t>Brandos egzaminų rezultatai</w:t>
      </w:r>
    </w:p>
    <w:p w:rsidR="00F0412C" w:rsidRDefault="00F0412C" w:rsidP="0042561D">
      <w:pPr>
        <w:pStyle w:val="NoSpacing"/>
        <w:tabs>
          <w:tab w:val="left" w:pos="0"/>
        </w:tabs>
        <w:spacing w:line="276" w:lineRule="auto"/>
        <w:ind w:firstLine="709"/>
        <w:rPr>
          <w:rFonts w:ascii="Times New Roman" w:eastAsia="Calibri" w:hAnsi="Times New Roman" w:cs="Times New Roman"/>
          <w:b/>
          <w:sz w:val="24"/>
          <w:szCs w:val="24"/>
        </w:rPr>
      </w:pPr>
    </w:p>
    <w:p w:rsidR="00F0412C" w:rsidRDefault="00F0412C" w:rsidP="0042561D">
      <w:pPr>
        <w:pStyle w:val="NoSpacing"/>
        <w:tabs>
          <w:tab w:val="left" w:pos="0"/>
        </w:tabs>
        <w:spacing w:line="276" w:lineRule="auto"/>
        <w:ind w:firstLine="709"/>
        <w:rPr>
          <w:rFonts w:ascii="Times New Roman" w:hAnsi="Times New Roman" w:cs="Times New Roman"/>
          <w:sz w:val="24"/>
          <w:szCs w:val="24"/>
        </w:rPr>
      </w:pPr>
      <w:r w:rsidRPr="00F0412C">
        <w:rPr>
          <w:rFonts w:ascii="Times New Roman" w:hAnsi="Times New Roman" w:cs="Times New Roman"/>
          <w:sz w:val="24"/>
          <w:szCs w:val="24"/>
        </w:rPr>
        <w:t xml:space="preserve">2017 metų brandos egzaminų pagrindinėje sesijoje laikyti brandos egzaminus bendrojo ugdymo mokyklose registravosi 182 mokyklų (gimnazijų ir Jaunimo ir suaugusiųjų mokyklos) abiturientai, Joniškio žemės ūkio mokykloje – 86 moksleiviai. </w:t>
      </w:r>
    </w:p>
    <w:p w:rsidR="00F0412C" w:rsidRDefault="00F0412C" w:rsidP="0042561D">
      <w:pPr>
        <w:rPr>
          <w:rFonts w:ascii="Times New Roman" w:hAnsi="Times New Roman" w:cs="Times New Roman"/>
          <w:sz w:val="24"/>
          <w:szCs w:val="24"/>
        </w:rPr>
      </w:pPr>
      <w:r>
        <w:rPr>
          <w:rFonts w:ascii="Times New Roman" w:hAnsi="Times New Roman" w:cs="Times New Roman"/>
          <w:sz w:val="24"/>
          <w:szCs w:val="24"/>
        </w:rPr>
        <w:t xml:space="preserve">           </w:t>
      </w:r>
      <w:r w:rsidRPr="00F0412C">
        <w:rPr>
          <w:rFonts w:ascii="Times New Roman" w:hAnsi="Times New Roman" w:cs="Times New Roman"/>
          <w:sz w:val="24"/>
          <w:szCs w:val="24"/>
        </w:rPr>
        <w:t xml:space="preserve">Rajono abiturientai rinkosi laikyti 9 valstybinius brandos egzaminus: lietuvių kalbos ir literatūros, užsienio kalbos (anglų), istorijos, matematikos, biologijos, fizikos, chemijos, informacinių technologijų ir geografijos. </w:t>
      </w:r>
      <w:r>
        <w:rPr>
          <w:rFonts w:ascii="Times New Roman" w:hAnsi="Times New Roman" w:cs="Times New Roman"/>
          <w:sz w:val="24"/>
          <w:szCs w:val="24"/>
        </w:rPr>
        <w:t xml:space="preserve">Iš pasirenkamųjų brandos egzaminų bendrojo ugdymo mokyklų mokiniai daugiausia rinkosi ir laikė užsienio kalbos (anglų), matematikos ir istorijos valstybinius brandos egzaminus. </w:t>
      </w:r>
    </w:p>
    <w:p w:rsidR="00F0412C" w:rsidRPr="004B6607" w:rsidRDefault="00F0412C" w:rsidP="0042561D">
      <w:pPr>
        <w:rPr>
          <w:rFonts w:ascii="Times New Roman" w:hAnsi="Times New Roman" w:cs="Times New Roman"/>
          <w:b/>
          <w:sz w:val="24"/>
          <w:szCs w:val="24"/>
        </w:rPr>
      </w:pPr>
      <w:r>
        <w:rPr>
          <w:rFonts w:ascii="Times New Roman" w:hAnsi="Times New Roman" w:cs="Times New Roman"/>
          <w:sz w:val="24"/>
          <w:szCs w:val="24"/>
        </w:rPr>
        <w:t xml:space="preserve">          </w:t>
      </w:r>
      <w:r w:rsidRPr="004B6607">
        <w:rPr>
          <w:rFonts w:ascii="Times New Roman" w:eastAsia="Calibri" w:hAnsi="Times New Roman" w:cs="Times New Roman"/>
          <w:sz w:val="24"/>
          <w:szCs w:val="24"/>
        </w:rPr>
        <w:t>Pagrindinės sesijos r</w:t>
      </w:r>
      <w:r w:rsidRPr="004B6607">
        <w:rPr>
          <w:rFonts w:ascii="Times New Roman" w:hAnsi="Times New Roman" w:cs="Times New Roman"/>
          <w:sz w:val="24"/>
          <w:szCs w:val="24"/>
        </w:rPr>
        <w:t>espublikos ir rajono rezultatų palyginimą pateikiame lentelėje</w:t>
      </w:r>
      <w:r w:rsidRPr="004B6607">
        <w:rPr>
          <w:rFonts w:ascii="Times New Roman" w:hAnsi="Times New Roman" w:cs="Times New Roman"/>
          <w:b/>
          <w:sz w:val="24"/>
          <w:szCs w:val="24"/>
        </w:rPr>
        <w:t xml:space="preserve">  </w:t>
      </w:r>
      <w:r w:rsidRPr="004B6607">
        <w:rPr>
          <w:rFonts w:ascii="Times New Roman" w:hAnsi="Times New Roman" w:cs="Times New Roman"/>
          <w:sz w:val="24"/>
          <w:szCs w:val="24"/>
        </w:rPr>
        <w:t xml:space="preserve"> (</w:t>
      </w:r>
      <w:r>
        <w:rPr>
          <w:rFonts w:ascii="Times New Roman" w:hAnsi="Times New Roman" w:cs="Times New Roman"/>
          <w:sz w:val="24"/>
          <w:szCs w:val="24"/>
        </w:rPr>
        <w:t>b</w:t>
      </w:r>
      <w:r w:rsidRPr="004B6607">
        <w:rPr>
          <w:rFonts w:ascii="Times New Roman" w:hAnsi="Times New Roman" w:cs="Times New Roman"/>
          <w:sz w:val="24"/>
          <w:szCs w:val="24"/>
        </w:rPr>
        <w:t>e žemės ūkio mokyklos mokinių, buvusių mokinių ir eksternų):</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51"/>
        <w:gridCol w:w="850"/>
        <w:gridCol w:w="993"/>
        <w:gridCol w:w="992"/>
        <w:gridCol w:w="1134"/>
        <w:gridCol w:w="850"/>
        <w:gridCol w:w="709"/>
        <w:gridCol w:w="992"/>
        <w:gridCol w:w="993"/>
      </w:tblGrid>
      <w:tr w:rsidR="00F0412C" w:rsidRPr="00943826" w:rsidTr="00BF141E">
        <w:trPr>
          <w:trHeight w:val="261"/>
        </w:trPr>
        <w:tc>
          <w:tcPr>
            <w:tcW w:w="1418" w:type="dxa"/>
            <w:vMerge w:val="restart"/>
          </w:tcPr>
          <w:p w:rsidR="00F0412C" w:rsidRPr="00943826" w:rsidRDefault="00F0412C" w:rsidP="00BF141E">
            <w:pPr>
              <w:rPr>
                <w:rFonts w:ascii="Times New Roman" w:hAnsi="Times New Roman" w:cs="Times New Roman"/>
              </w:rPr>
            </w:pPr>
            <w:r w:rsidRPr="00943826">
              <w:rPr>
                <w:rFonts w:ascii="Times New Roman" w:hAnsi="Times New Roman" w:cs="Times New Roman"/>
              </w:rPr>
              <w:t xml:space="preserve">Egzaminas  </w:t>
            </w:r>
          </w:p>
        </w:tc>
        <w:tc>
          <w:tcPr>
            <w:tcW w:w="4820" w:type="dxa"/>
            <w:gridSpan w:val="5"/>
          </w:tcPr>
          <w:p w:rsidR="00F0412C" w:rsidRPr="00943826" w:rsidRDefault="00F0412C" w:rsidP="00BF141E">
            <w:pPr>
              <w:jc w:val="center"/>
              <w:rPr>
                <w:rFonts w:ascii="Times New Roman" w:hAnsi="Times New Roman" w:cs="Times New Roman"/>
              </w:rPr>
            </w:pPr>
            <w:r w:rsidRPr="00943826">
              <w:rPr>
                <w:rFonts w:ascii="Times New Roman" w:hAnsi="Times New Roman" w:cs="Times New Roman"/>
                <w:b/>
              </w:rPr>
              <w:t xml:space="preserve">Respublikos </w:t>
            </w:r>
            <w:r w:rsidRPr="00943826">
              <w:rPr>
                <w:rFonts w:ascii="Times New Roman" w:hAnsi="Times New Roman" w:cs="Times New Roman"/>
              </w:rPr>
              <w:t>rezultatai</w:t>
            </w:r>
          </w:p>
        </w:tc>
        <w:tc>
          <w:tcPr>
            <w:tcW w:w="3544" w:type="dxa"/>
            <w:gridSpan w:val="4"/>
            <w:shd w:val="clear" w:color="auto" w:fill="auto"/>
          </w:tcPr>
          <w:p w:rsidR="00F0412C" w:rsidRPr="00943826" w:rsidRDefault="00F0412C" w:rsidP="00BF141E">
            <w:pPr>
              <w:jc w:val="center"/>
              <w:rPr>
                <w:rFonts w:ascii="Times New Roman" w:hAnsi="Times New Roman" w:cs="Times New Roman"/>
              </w:rPr>
            </w:pPr>
            <w:r w:rsidRPr="00943826">
              <w:rPr>
                <w:rFonts w:ascii="Times New Roman" w:hAnsi="Times New Roman" w:cs="Times New Roman"/>
                <w:b/>
              </w:rPr>
              <w:t>Rajono</w:t>
            </w:r>
            <w:r w:rsidRPr="00943826">
              <w:rPr>
                <w:rFonts w:ascii="Times New Roman" w:hAnsi="Times New Roman" w:cs="Times New Roman"/>
              </w:rPr>
              <w:t xml:space="preserve"> rezultatai</w:t>
            </w:r>
          </w:p>
        </w:tc>
      </w:tr>
      <w:tr w:rsidR="00F0412C" w:rsidRPr="00943826" w:rsidTr="00013FEE">
        <w:trPr>
          <w:trHeight w:val="767"/>
        </w:trPr>
        <w:tc>
          <w:tcPr>
            <w:tcW w:w="1418" w:type="dxa"/>
            <w:vMerge/>
          </w:tcPr>
          <w:p w:rsidR="00F0412C" w:rsidRPr="00943826" w:rsidRDefault="00F0412C" w:rsidP="00BF141E">
            <w:pPr>
              <w:jc w:val="center"/>
              <w:rPr>
                <w:rFonts w:ascii="Times New Roman" w:hAnsi="Times New Roman" w:cs="Times New Roman"/>
              </w:rPr>
            </w:pPr>
          </w:p>
        </w:tc>
        <w:tc>
          <w:tcPr>
            <w:tcW w:w="851" w:type="dxa"/>
          </w:tcPr>
          <w:p w:rsidR="00F0412C" w:rsidRPr="00380928" w:rsidRDefault="00F0412C" w:rsidP="00BF141E">
            <w:pPr>
              <w:pStyle w:val="NoSpacing"/>
              <w:rPr>
                <w:rFonts w:ascii="Times New Roman" w:hAnsi="Times New Roman" w:cs="Times New Roman"/>
              </w:rPr>
            </w:pPr>
            <w:r w:rsidRPr="00380928">
              <w:rPr>
                <w:rFonts w:ascii="Times New Roman" w:hAnsi="Times New Roman" w:cs="Times New Roman"/>
              </w:rPr>
              <w:t>laikė</w:t>
            </w:r>
          </w:p>
        </w:tc>
        <w:tc>
          <w:tcPr>
            <w:tcW w:w="850" w:type="dxa"/>
          </w:tcPr>
          <w:p w:rsidR="00F0412C" w:rsidRPr="00380928" w:rsidRDefault="00F0412C" w:rsidP="00BF141E">
            <w:pPr>
              <w:pStyle w:val="NoSpacing"/>
              <w:rPr>
                <w:rFonts w:ascii="Times New Roman" w:hAnsi="Times New Roman" w:cs="Times New Roman"/>
              </w:rPr>
            </w:pPr>
            <w:r w:rsidRPr="00380928">
              <w:rPr>
                <w:rFonts w:ascii="Times New Roman" w:hAnsi="Times New Roman" w:cs="Times New Roman"/>
              </w:rPr>
              <w:t>išlaikė</w:t>
            </w:r>
          </w:p>
        </w:tc>
        <w:tc>
          <w:tcPr>
            <w:tcW w:w="993" w:type="dxa"/>
          </w:tcPr>
          <w:p w:rsidR="00F0412C" w:rsidRPr="00380928" w:rsidRDefault="00F0412C" w:rsidP="00BF141E">
            <w:pPr>
              <w:pStyle w:val="NoSpacing"/>
              <w:rPr>
                <w:rFonts w:ascii="Times New Roman" w:hAnsi="Times New Roman" w:cs="Times New Roman"/>
              </w:rPr>
            </w:pPr>
            <w:proofErr w:type="spellStart"/>
            <w:r w:rsidRPr="00380928">
              <w:rPr>
                <w:rFonts w:ascii="Times New Roman" w:hAnsi="Times New Roman" w:cs="Times New Roman"/>
              </w:rPr>
              <w:t>išlaikiu</w:t>
            </w:r>
            <w:proofErr w:type="spellEnd"/>
          </w:p>
          <w:p w:rsidR="00F0412C" w:rsidRPr="00380928" w:rsidRDefault="00F0412C" w:rsidP="00BF141E">
            <w:pPr>
              <w:pStyle w:val="NoSpacing"/>
              <w:rPr>
                <w:rFonts w:ascii="Times New Roman" w:hAnsi="Times New Roman" w:cs="Times New Roman"/>
              </w:rPr>
            </w:pPr>
            <w:proofErr w:type="spellStart"/>
            <w:r w:rsidRPr="00380928">
              <w:rPr>
                <w:rFonts w:ascii="Times New Roman" w:hAnsi="Times New Roman" w:cs="Times New Roman"/>
              </w:rPr>
              <w:t>siųjų</w:t>
            </w:r>
            <w:proofErr w:type="spellEnd"/>
            <w:r w:rsidRPr="00380928">
              <w:rPr>
                <w:rFonts w:ascii="Times New Roman" w:hAnsi="Times New Roman" w:cs="Times New Roman"/>
              </w:rPr>
              <w:t xml:space="preserve"> dalis % </w:t>
            </w:r>
          </w:p>
        </w:tc>
        <w:tc>
          <w:tcPr>
            <w:tcW w:w="992" w:type="dxa"/>
          </w:tcPr>
          <w:p w:rsidR="00F0412C" w:rsidRPr="00380928" w:rsidRDefault="00F0412C" w:rsidP="00BF141E">
            <w:pPr>
              <w:pStyle w:val="NoSpacing"/>
              <w:rPr>
                <w:rFonts w:ascii="Times New Roman" w:hAnsi="Times New Roman" w:cs="Times New Roman"/>
              </w:rPr>
            </w:pPr>
            <w:proofErr w:type="spellStart"/>
            <w:r w:rsidRPr="00380928">
              <w:rPr>
                <w:rFonts w:ascii="Times New Roman" w:hAnsi="Times New Roman" w:cs="Times New Roman"/>
              </w:rPr>
              <w:t>neišlai</w:t>
            </w:r>
            <w:proofErr w:type="spellEnd"/>
          </w:p>
          <w:p w:rsidR="00F0412C" w:rsidRPr="00380928" w:rsidRDefault="00F0412C" w:rsidP="00BF141E">
            <w:pPr>
              <w:pStyle w:val="NoSpacing"/>
              <w:rPr>
                <w:rFonts w:ascii="Times New Roman" w:hAnsi="Times New Roman" w:cs="Times New Roman"/>
              </w:rPr>
            </w:pPr>
            <w:proofErr w:type="spellStart"/>
            <w:r w:rsidRPr="00380928">
              <w:rPr>
                <w:rFonts w:ascii="Times New Roman" w:hAnsi="Times New Roman" w:cs="Times New Roman"/>
              </w:rPr>
              <w:t>kiusiųjų</w:t>
            </w:r>
            <w:proofErr w:type="spellEnd"/>
            <w:r w:rsidRPr="00380928">
              <w:rPr>
                <w:rFonts w:ascii="Times New Roman" w:hAnsi="Times New Roman" w:cs="Times New Roman"/>
              </w:rPr>
              <w:t xml:space="preserve"> skaičius </w:t>
            </w:r>
          </w:p>
        </w:tc>
        <w:tc>
          <w:tcPr>
            <w:tcW w:w="1134" w:type="dxa"/>
          </w:tcPr>
          <w:p w:rsidR="00F0412C" w:rsidRPr="00380928" w:rsidRDefault="00F0412C" w:rsidP="00BF141E">
            <w:pPr>
              <w:pStyle w:val="NoSpacing"/>
              <w:rPr>
                <w:rFonts w:ascii="Times New Roman" w:hAnsi="Times New Roman" w:cs="Times New Roman"/>
              </w:rPr>
            </w:pPr>
            <w:proofErr w:type="spellStart"/>
            <w:r w:rsidRPr="00380928">
              <w:rPr>
                <w:rFonts w:ascii="Times New Roman" w:hAnsi="Times New Roman" w:cs="Times New Roman"/>
              </w:rPr>
              <w:t>neišlai</w:t>
            </w:r>
            <w:proofErr w:type="spellEnd"/>
          </w:p>
          <w:p w:rsidR="00F0412C" w:rsidRPr="00380928" w:rsidRDefault="00F0412C" w:rsidP="00BF141E">
            <w:pPr>
              <w:pStyle w:val="NoSpacing"/>
              <w:rPr>
                <w:rFonts w:ascii="Times New Roman" w:hAnsi="Times New Roman" w:cs="Times New Roman"/>
              </w:rPr>
            </w:pPr>
            <w:proofErr w:type="spellStart"/>
            <w:r w:rsidRPr="00380928">
              <w:rPr>
                <w:rFonts w:ascii="Times New Roman" w:hAnsi="Times New Roman" w:cs="Times New Roman"/>
              </w:rPr>
              <w:t>kiusių</w:t>
            </w:r>
            <w:proofErr w:type="spellEnd"/>
            <w:r w:rsidRPr="00380928">
              <w:rPr>
                <w:rFonts w:ascii="Times New Roman" w:hAnsi="Times New Roman" w:cs="Times New Roman"/>
              </w:rPr>
              <w:t xml:space="preserve"> dalis % </w:t>
            </w:r>
          </w:p>
          <w:p w:rsidR="00F0412C" w:rsidRPr="00380928" w:rsidRDefault="00F0412C" w:rsidP="00BF141E">
            <w:pPr>
              <w:pStyle w:val="NoSpacing"/>
              <w:rPr>
                <w:rFonts w:ascii="Times New Roman" w:hAnsi="Times New Roman" w:cs="Times New Roman"/>
              </w:rPr>
            </w:pPr>
          </w:p>
        </w:tc>
        <w:tc>
          <w:tcPr>
            <w:tcW w:w="850" w:type="dxa"/>
          </w:tcPr>
          <w:p w:rsidR="00F0412C" w:rsidRPr="00380928" w:rsidRDefault="00F0412C" w:rsidP="00BF141E">
            <w:pPr>
              <w:pStyle w:val="NoSpacing"/>
              <w:rPr>
                <w:rFonts w:ascii="Times New Roman" w:hAnsi="Times New Roman" w:cs="Times New Roman"/>
              </w:rPr>
            </w:pPr>
            <w:r w:rsidRPr="00380928">
              <w:rPr>
                <w:rFonts w:ascii="Times New Roman" w:hAnsi="Times New Roman" w:cs="Times New Roman"/>
              </w:rPr>
              <w:t>laikė</w:t>
            </w:r>
          </w:p>
        </w:tc>
        <w:tc>
          <w:tcPr>
            <w:tcW w:w="709" w:type="dxa"/>
          </w:tcPr>
          <w:p w:rsidR="00F0412C" w:rsidRPr="00380928" w:rsidRDefault="00F0412C" w:rsidP="00BF141E">
            <w:pPr>
              <w:pStyle w:val="NoSpacing"/>
              <w:rPr>
                <w:rFonts w:ascii="Times New Roman" w:hAnsi="Times New Roman" w:cs="Times New Roman"/>
              </w:rPr>
            </w:pPr>
            <w:r w:rsidRPr="00380928">
              <w:rPr>
                <w:rFonts w:ascii="Times New Roman" w:hAnsi="Times New Roman" w:cs="Times New Roman"/>
              </w:rPr>
              <w:t>išlaikė</w:t>
            </w:r>
          </w:p>
        </w:tc>
        <w:tc>
          <w:tcPr>
            <w:tcW w:w="992" w:type="dxa"/>
          </w:tcPr>
          <w:p w:rsidR="00F0412C" w:rsidRPr="00380928" w:rsidRDefault="00F0412C" w:rsidP="00BF141E">
            <w:pPr>
              <w:pStyle w:val="NoSpacing"/>
              <w:rPr>
                <w:rFonts w:ascii="Times New Roman" w:hAnsi="Times New Roman" w:cs="Times New Roman"/>
              </w:rPr>
            </w:pPr>
            <w:proofErr w:type="spellStart"/>
            <w:r w:rsidRPr="00380928">
              <w:rPr>
                <w:rFonts w:ascii="Times New Roman" w:hAnsi="Times New Roman" w:cs="Times New Roman"/>
              </w:rPr>
              <w:t>išlaikiu</w:t>
            </w:r>
            <w:proofErr w:type="spellEnd"/>
          </w:p>
          <w:p w:rsidR="00F0412C" w:rsidRPr="00380928" w:rsidRDefault="00F0412C" w:rsidP="00BF141E">
            <w:pPr>
              <w:pStyle w:val="NoSpacing"/>
              <w:rPr>
                <w:rFonts w:ascii="Times New Roman" w:hAnsi="Times New Roman" w:cs="Times New Roman"/>
              </w:rPr>
            </w:pPr>
            <w:proofErr w:type="spellStart"/>
            <w:r w:rsidRPr="00380928">
              <w:rPr>
                <w:rFonts w:ascii="Times New Roman" w:hAnsi="Times New Roman" w:cs="Times New Roman"/>
              </w:rPr>
              <w:t>siųjų</w:t>
            </w:r>
            <w:proofErr w:type="spellEnd"/>
            <w:r w:rsidRPr="00380928">
              <w:rPr>
                <w:rFonts w:ascii="Times New Roman" w:hAnsi="Times New Roman" w:cs="Times New Roman"/>
              </w:rPr>
              <w:t xml:space="preserve"> dalis %</w:t>
            </w:r>
          </w:p>
        </w:tc>
        <w:tc>
          <w:tcPr>
            <w:tcW w:w="993" w:type="dxa"/>
          </w:tcPr>
          <w:p w:rsidR="00F0412C" w:rsidRPr="00380928" w:rsidRDefault="00F0412C" w:rsidP="00BF141E">
            <w:pPr>
              <w:pStyle w:val="NoSpacing"/>
              <w:rPr>
                <w:rFonts w:ascii="Times New Roman" w:hAnsi="Times New Roman" w:cs="Times New Roman"/>
              </w:rPr>
            </w:pPr>
            <w:proofErr w:type="spellStart"/>
            <w:r w:rsidRPr="00380928">
              <w:rPr>
                <w:rFonts w:ascii="Times New Roman" w:hAnsi="Times New Roman" w:cs="Times New Roman"/>
              </w:rPr>
              <w:t>neišlai</w:t>
            </w:r>
            <w:proofErr w:type="spellEnd"/>
          </w:p>
          <w:p w:rsidR="00F0412C" w:rsidRPr="00380928" w:rsidRDefault="00F0412C" w:rsidP="00BF141E">
            <w:pPr>
              <w:pStyle w:val="NoSpacing"/>
              <w:rPr>
                <w:rFonts w:ascii="Times New Roman" w:hAnsi="Times New Roman" w:cs="Times New Roman"/>
              </w:rPr>
            </w:pPr>
            <w:proofErr w:type="spellStart"/>
            <w:r w:rsidRPr="00380928">
              <w:rPr>
                <w:rFonts w:ascii="Times New Roman" w:hAnsi="Times New Roman" w:cs="Times New Roman"/>
              </w:rPr>
              <w:t>kiusių</w:t>
            </w:r>
            <w:proofErr w:type="spellEnd"/>
            <w:r w:rsidRPr="00380928">
              <w:rPr>
                <w:rFonts w:ascii="Times New Roman" w:hAnsi="Times New Roman" w:cs="Times New Roman"/>
              </w:rPr>
              <w:t xml:space="preserve"> dalis % </w:t>
            </w:r>
          </w:p>
          <w:p w:rsidR="00F0412C" w:rsidRPr="00380928" w:rsidRDefault="00F0412C" w:rsidP="00BF141E">
            <w:pPr>
              <w:pStyle w:val="NoSpacing"/>
              <w:rPr>
                <w:rFonts w:ascii="Times New Roman" w:hAnsi="Times New Roman" w:cs="Times New Roman"/>
              </w:rPr>
            </w:pPr>
          </w:p>
        </w:tc>
      </w:tr>
      <w:tr w:rsidR="00F0412C" w:rsidRPr="00943826" w:rsidTr="00013FEE">
        <w:trPr>
          <w:trHeight w:val="715"/>
        </w:trPr>
        <w:tc>
          <w:tcPr>
            <w:tcW w:w="1418" w:type="dxa"/>
          </w:tcPr>
          <w:p w:rsidR="00F0412C" w:rsidRPr="00380928" w:rsidRDefault="00F0412C" w:rsidP="004B4318">
            <w:pPr>
              <w:rPr>
                <w:rFonts w:ascii="Times New Roman" w:hAnsi="Times New Roman" w:cs="Times New Roman"/>
              </w:rPr>
            </w:pPr>
            <w:r w:rsidRPr="00380928">
              <w:rPr>
                <w:rFonts w:ascii="Times New Roman" w:hAnsi="Times New Roman" w:cs="Times New Roman"/>
              </w:rPr>
              <w:t>Užsienio kalba (anglų)</w:t>
            </w:r>
          </w:p>
        </w:tc>
        <w:tc>
          <w:tcPr>
            <w:tcW w:w="851" w:type="dxa"/>
          </w:tcPr>
          <w:p w:rsidR="00F0412C" w:rsidRPr="00380928" w:rsidRDefault="00F0412C" w:rsidP="00BF141E">
            <w:pPr>
              <w:jc w:val="center"/>
              <w:rPr>
                <w:rFonts w:ascii="Times New Roman" w:hAnsi="Times New Roman" w:cs="Times New Roman"/>
              </w:rPr>
            </w:pPr>
          </w:p>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19279</w:t>
            </w:r>
          </w:p>
        </w:tc>
        <w:tc>
          <w:tcPr>
            <w:tcW w:w="850" w:type="dxa"/>
          </w:tcPr>
          <w:p w:rsidR="00F0412C" w:rsidRPr="00380928" w:rsidRDefault="00F0412C" w:rsidP="00BF141E">
            <w:pPr>
              <w:jc w:val="center"/>
              <w:rPr>
                <w:rFonts w:ascii="Times New Roman" w:hAnsi="Times New Roman" w:cs="Times New Roman"/>
              </w:rPr>
            </w:pPr>
          </w:p>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19052</w:t>
            </w:r>
          </w:p>
        </w:tc>
        <w:tc>
          <w:tcPr>
            <w:tcW w:w="993" w:type="dxa"/>
          </w:tcPr>
          <w:p w:rsidR="00F0412C" w:rsidRPr="00380928" w:rsidRDefault="00F0412C" w:rsidP="00BF141E">
            <w:pPr>
              <w:jc w:val="center"/>
              <w:rPr>
                <w:rFonts w:ascii="Times New Roman" w:hAnsi="Times New Roman" w:cs="Times New Roman"/>
                <w:i/>
              </w:rPr>
            </w:pPr>
          </w:p>
          <w:p w:rsidR="00F0412C" w:rsidRPr="00380928" w:rsidRDefault="00F0412C" w:rsidP="00BF141E">
            <w:pPr>
              <w:jc w:val="center"/>
              <w:rPr>
                <w:rFonts w:ascii="Times New Roman" w:hAnsi="Times New Roman" w:cs="Times New Roman"/>
                <w:i/>
              </w:rPr>
            </w:pPr>
            <w:r w:rsidRPr="00380928">
              <w:rPr>
                <w:rFonts w:ascii="Times New Roman" w:hAnsi="Times New Roman" w:cs="Times New Roman"/>
                <w:i/>
              </w:rPr>
              <w:t>98,82</w:t>
            </w:r>
          </w:p>
        </w:tc>
        <w:tc>
          <w:tcPr>
            <w:tcW w:w="992" w:type="dxa"/>
          </w:tcPr>
          <w:p w:rsidR="00F0412C" w:rsidRPr="00380928" w:rsidRDefault="00F0412C" w:rsidP="00BF141E">
            <w:pPr>
              <w:jc w:val="center"/>
              <w:rPr>
                <w:rFonts w:ascii="Times New Roman" w:hAnsi="Times New Roman" w:cs="Times New Roman"/>
              </w:rPr>
            </w:pPr>
          </w:p>
          <w:p w:rsidR="00F0412C" w:rsidRPr="00380928" w:rsidRDefault="00F0412C" w:rsidP="00BF141E">
            <w:pPr>
              <w:jc w:val="center"/>
              <w:rPr>
                <w:rFonts w:ascii="Times New Roman" w:hAnsi="Times New Roman" w:cs="Times New Roman"/>
              </w:rPr>
            </w:pPr>
            <w:r w:rsidRPr="00380928">
              <w:rPr>
                <w:rFonts w:ascii="Times New Roman" w:hAnsi="Times New Roman" w:cs="Times New Roman"/>
                <w:i/>
              </w:rPr>
              <w:t>227</w:t>
            </w:r>
          </w:p>
        </w:tc>
        <w:tc>
          <w:tcPr>
            <w:tcW w:w="1134" w:type="dxa"/>
          </w:tcPr>
          <w:p w:rsidR="00F0412C" w:rsidRPr="00380928" w:rsidRDefault="00F0412C" w:rsidP="00BF141E">
            <w:pPr>
              <w:jc w:val="center"/>
              <w:rPr>
                <w:rFonts w:ascii="Times New Roman" w:hAnsi="Times New Roman" w:cs="Times New Roman"/>
                <w:b/>
              </w:rPr>
            </w:pPr>
          </w:p>
          <w:p w:rsidR="00F0412C" w:rsidRPr="00380928" w:rsidRDefault="00F0412C" w:rsidP="00BF141E">
            <w:pPr>
              <w:jc w:val="center"/>
              <w:rPr>
                <w:rFonts w:ascii="Times New Roman" w:hAnsi="Times New Roman" w:cs="Times New Roman"/>
                <w:b/>
              </w:rPr>
            </w:pPr>
            <w:r w:rsidRPr="00380928">
              <w:rPr>
                <w:rFonts w:ascii="Times New Roman" w:hAnsi="Times New Roman" w:cs="Times New Roman"/>
                <w:b/>
              </w:rPr>
              <w:t>1,18</w:t>
            </w:r>
          </w:p>
        </w:tc>
        <w:tc>
          <w:tcPr>
            <w:tcW w:w="850" w:type="dxa"/>
          </w:tcPr>
          <w:p w:rsidR="00F0412C" w:rsidRPr="00380928" w:rsidRDefault="00F0412C" w:rsidP="00BF141E">
            <w:pPr>
              <w:jc w:val="center"/>
              <w:rPr>
                <w:rFonts w:ascii="Times New Roman" w:hAnsi="Times New Roman" w:cs="Times New Roman"/>
              </w:rPr>
            </w:pPr>
          </w:p>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164</w:t>
            </w:r>
          </w:p>
        </w:tc>
        <w:tc>
          <w:tcPr>
            <w:tcW w:w="709" w:type="dxa"/>
          </w:tcPr>
          <w:p w:rsidR="00F0412C" w:rsidRPr="00380928" w:rsidRDefault="00F0412C" w:rsidP="00BF141E">
            <w:pPr>
              <w:jc w:val="center"/>
              <w:rPr>
                <w:rFonts w:ascii="Times New Roman" w:hAnsi="Times New Roman" w:cs="Times New Roman"/>
              </w:rPr>
            </w:pPr>
          </w:p>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160</w:t>
            </w:r>
          </w:p>
        </w:tc>
        <w:tc>
          <w:tcPr>
            <w:tcW w:w="992" w:type="dxa"/>
          </w:tcPr>
          <w:p w:rsidR="00F0412C" w:rsidRPr="00380928" w:rsidRDefault="00F0412C" w:rsidP="00BF141E">
            <w:pPr>
              <w:jc w:val="center"/>
              <w:rPr>
                <w:rFonts w:ascii="Times New Roman" w:hAnsi="Times New Roman" w:cs="Times New Roman"/>
                <w:b/>
                <w:i/>
              </w:rPr>
            </w:pPr>
          </w:p>
          <w:p w:rsidR="00F0412C" w:rsidRPr="00380928" w:rsidRDefault="00F0412C" w:rsidP="00BF141E">
            <w:pPr>
              <w:jc w:val="center"/>
              <w:rPr>
                <w:rFonts w:ascii="Times New Roman" w:hAnsi="Times New Roman" w:cs="Times New Roman"/>
                <w:b/>
                <w:i/>
              </w:rPr>
            </w:pPr>
            <w:r w:rsidRPr="00380928">
              <w:rPr>
                <w:rFonts w:ascii="Times New Roman" w:hAnsi="Times New Roman" w:cs="Times New Roman"/>
                <w:b/>
                <w:i/>
              </w:rPr>
              <w:t>97,56</w:t>
            </w:r>
          </w:p>
        </w:tc>
        <w:tc>
          <w:tcPr>
            <w:tcW w:w="993" w:type="dxa"/>
          </w:tcPr>
          <w:p w:rsidR="00F0412C" w:rsidRPr="00380928" w:rsidRDefault="00F0412C" w:rsidP="00BF141E">
            <w:pPr>
              <w:jc w:val="center"/>
              <w:rPr>
                <w:rFonts w:ascii="Times New Roman" w:hAnsi="Times New Roman" w:cs="Times New Roman"/>
                <w:b/>
              </w:rPr>
            </w:pPr>
          </w:p>
          <w:p w:rsidR="00F0412C" w:rsidRPr="00380928" w:rsidRDefault="00F0412C" w:rsidP="00BF141E">
            <w:pPr>
              <w:jc w:val="center"/>
              <w:rPr>
                <w:rFonts w:ascii="Times New Roman" w:hAnsi="Times New Roman" w:cs="Times New Roman"/>
                <w:b/>
              </w:rPr>
            </w:pPr>
            <w:r w:rsidRPr="00380928">
              <w:rPr>
                <w:rFonts w:ascii="Times New Roman" w:hAnsi="Times New Roman" w:cs="Times New Roman"/>
                <w:b/>
              </w:rPr>
              <w:t>2,44</w:t>
            </w:r>
          </w:p>
        </w:tc>
      </w:tr>
      <w:tr w:rsidR="00F0412C" w:rsidRPr="00943826" w:rsidTr="00013FEE">
        <w:trPr>
          <w:trHeight w:val="856"/>
        </w:trPr>
        <w:tc>
          <w:tcPr>
            <w:tcW w:w="1418" w:type="dxa"/>
          </w:tcPr>
          <w:p w:rsidR="00F0412C" w:rsidRPr="00380928" w:rsidRDefault="00F0412C" w:rsidP="00BF141E">
            <w:pPr>
              <w:rPr>
                <w:rFonts w:ascii="Times New Roman" w:hAnsi="Times New Roman" w:cs="Times New Roman"/>
              </w:rPr>
            </w:pPr>
            <w:r w:rsidRPr="00380928">
              <w:rPr>
                <w:rFonts w:ascii="Times New Roman" w:hAnsi="Times New Roman" w:cs="Times New Roman"/>
              </w:rPr>
              <w:t xml:space="preserve">Lietuvių kalba ir literatūra </w:t>
            </w:r>
          </w:p>
        </w:tc>
        <w:tc>
          <w:tcPr>
            <w:tcW w:w="851" w:type="dxa"/>
          </w:tcPr>
          <w:p w:rsidR="00F0412C" w:rsidRPr="00380928" w:rsidRDefault="00F0412C" w:rsidP="00BF141E">
            <w:pPr>
              <w:jc w:val="center"/>
              <w:rPr>
                <w:rFonts w:ascii="Times New Roman" w:hAnsi="Times New Roman" w:cs="Times New Roman"/>
              </w:rPr>
            </w:pPr>
          </w:p>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17826</w:t>
            </w:r>
          </w:p>
        </w:tc>
        <w:tc>
          <w:tcPr>
            <w:tcW w:w="850" w:type="dxa"/>
          </w:tcPr>
          <w:p w:rsidR="00F0412C" w:rsidRPr="00380928" w:rsidRDefault="00F0412C" w:rsidP="00BF141E">
            <w:pPr>
              <w:jc w:val="center"/>
              <w:rPr>
                <w:rFonts w:ascii="Times New Roman" w:hAnsi="Times New Roman" w:cs="Times New Roman"/>
              </w:rPr>
            </w:pPr>
          </w:p>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16078</w:t>
            </w:r>
          </w:p>
        </w:tc>
        <w:tc>
          <w:tcPr>
            <w:tcW w:w="993" w:type="dxa"/>
          </w:tcPr>
          <w:p w:rsidR="00F0412C" w:rsidRPr="00380928" w:rsidRDefault="00F0412C" w:rsidP="00BF141E">
            <w:pPr>
              <w:jc w:val="center"/>
              <w:rPr>
                <w:rFonts w:ascii="Times New Roman" w:hAnsi="Times New Roman" w:cs="Times New Roman"/>
                <w:i/>
              </w:rPr>
            </w:pPr>
          </w:p>
          <w:p w:rsidR="00F0412C" w:rsidRPr="00380928" w:rsidRDefault="00F0412C" w:rsidP="00BF141E">
            <w:pPr>
              <w:jc w:val="center"/>
              <w:rPr>
                <w:rFonts w:ascii="Times New Roman" w:hAnsi="Times New Roman" w:cs="Times New Roman"/>
                <w:i/>
              </w:rPr>
            </w:pPr>
            <w:r w:rsidRPr="00380928">
              <w:rPr>
                <w:rFonts w:ascii="Times New Roman" w:hAnsi="Times New Roman" w:cs="Times New Roman"/>
                <w:i/>
              </w:rPr>
              <w:t>90,19</w:t>
            </w:r>
          </w:p>
        </w:tc>
        <w:tc>
          <w:tcPr>
            <w:tcW w:w="992" w:type="dxa"/>
          </w:tcPr>
          <w:p w:rsidR="00F0412C" w:rsidRPr="00380928" w:rsidRDefault="00F0412C" w:rsidP="00BF141E">
            <w:pPr>
              <w:jc w:val="center"/>
              <w:rPr>
                <w:rFonts w:ascii="Times New Roman" w:hAnsi="Times New Roman" w:cs="Times New Roman"/>
              </w:rPr>
            </w:pPr>
          </w:p>
          <w:p w:rsidR="00F0412C" w:rsidRPr="00380928" w:rsidRDefault="00F0412C" w:rsidP="00BF141E">
            <w:pPr>
              <w:rPr>
                <w:rFonts w:ascii="Times New Roman" w:hAnsi="Times New Roman" w:cs="Times New Roman"/>
              </w:rPr>
            </w:pPr>
            <w:r w:rsidRPr="00380928">
              <w:rPr>
                <w:rFonts w:ascii="Times New Roman" w:hAnsi="Times New Roman" w:cs="Times New Roman"/>
              </w:rPr>
              <w:t>1748</w:t>
            </w:r>
          </w:p>
        </w:tc>
        <w:tc>
          <w:tcPr>
            <w:tcW w:w="1134" w:type="dxa"/>
          </w:tcPr>
          <w:p w:rsidR="00F0412C" w:rsidRPr="00380928" w:rsidRDefault="00F0412C" w:rsidP="00BF141E">
            <w:pPr>
              <w:jc w:val="center"/>
              <w:rPr>
                <w:rFonts w:ascii="Times New Roman" w:hAnsi="Times New Roman" w:cs="Times New Roman"/>
                <w:b/>
              </w:rPr>
            </w:pPr>
          </w:p>
          <w:p w:rsidR="00F0412C" w:rsidRPr="00380928" w:rsidRDefault="00F0412C" w:rsidP="00BF141E">
            <w:pPr>
              <w:jc w:val="center"/>
              <w:rPr>
                <w:rFonts w:ascii="Times New Roman" w:hAnsi="Times New Roman" w:cs="Times New Roman"/>
                <w:b/>
              </w:rPr>
            </w:pPr>
            <w:r w:rsidRPr="00380928">
              <w:rPr>
                <w:rFonts w:ascii="Times New Roman" w:hAnsi="Times New Roman" w:cs="Times New Roman"/>
                <w:b/>
              </w:rPr>
              <w:t>9,81</w:t>
            </w:r>
          </w:p>
        </w:tc>
        <w:tc>
          <w:tcPr>
            <w:tcW w:w="850" w:type="dxa"/>
          </w:tcPr>
          <w:p w:rsidR="00F0412C" w:rsidRPr="00380928" w:rsidRDefault="00F0412C" w:rsidP="00BF141E">
            <w:pPr>
              <w:jc w:val="center"/>
              <w:rPr>
                <w:rFonts w:ascii="Times New Roman" w:hAnsi="Times New Roman" w:cs="Times New Roman"/>
              </w:rPr>
            </w:pPr>
          </w:p>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143</w:t>
            </w:r>
          </w:p>
        </w:tc>
        <w:tc>
          <w:tcPr>
            <w:tcW w:w="709" w:type="dxa"/>
          </w:tcPr>
          <w:p w:rsidR="00F0412C" w:rsidRPr="00380928" w:rsidRDefault="00F0412C" w:rsidP="00BF141E">
            <w:pPr>
              <w:jc w:val="center"/>
              <w:rPr>
                <w:rFonts w:ascii="Times New Roman" w:hAnsi="Times New Roman" w:cs="Times New Roman"/>
              </w:rPr>
            </w:pPr>
          </w:p>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116</w:t>
            </w:r>
          </w:p>
        </w:tc>
        <w:tc>
          <w:tcPr>
            <w:tcW w:w="992" w:type="dxa"/>
          </w:tcPr>
          <w:p w:rsidR="00F0412C" w:rsidRPr="00380928" w:rsidRDefault="00F0412C" w:rsidP="00BF141E">
            <w:pPr>
              <w:jc w:val="center"/>
              <w:rPr>
                <w:rFonts w:ascii="Times New Roman" w:hAnsi="Times New Roman" w:cs="Times New Roman"/>
                <w:b/>
                <w:i/>
              </w:rPr>
            </w:pPr>
          </w:p>
          <w:p w:rsidR="00F0412C" w:rsidRPr="00380928" w:rsidRDefault="00F0412C" w:rsidP="00BF141E">
            <w:pPr>
              <w:jc w:val="center"/>
              <w:rPr>
                <w:rFonts w:ascii="Times New Roman" w:hAnsi="Times New Roman" w:cs="Times New Roman"/>
                <w:b/>
                <w:i/>
              </w:rPr>
            </w:pPr>
            <w:r w:rsidRPr="00380928">
              <w:rPr>
                <w:rFonts w:ascii="Times New Roman" w:hAnsi="Times New Roman" w:cs="Times New Roman"/>
                <w:b/>
                <w:i/>
              </w:rPr>
              <w:t>81,12</w:t>
            </w:r>
          </w:p>
        </w:tc>
        <w:tc>
          <w:tcPr>
            <w:tcW w:w="993" w:type="dxa"/>
          </w:tcPr>
          <w:p w:rsidR="00F0412C" w:rsidRPr="00380928" w:rsidRDefault="00F0412C" w:rsidP="00BF141E">
            <w:pPr>
              <w:jc w:val="center"/>
              <w:rPr>
                <w:rFonts w:ascii="Times New Roman" w:hAnsi="Times New Roman" w:cs="Times New Roman"/>
                <w:b/>
              </w:rPr>
            </w:pPr>
          </w:p>
          <w:p w:rsidR="00F0412C" w:rsidRPr="00380928" w:rsidRDefault="00F0412C" w:rsidP="00BF141E">
            <w:pPr>
              <w:jc w:val="center"/>
              <w:rPr>
                <w:rFonts w:ascii="Times New Roman" w:hAnsi="Times New Roman" w:cs="Times New Roman"/>
                <w:b/>
              </w:rPr>
            </w:pPr>
            <w:r w:rsidRPr="00380928">
              <w:rPr>
                <w:rFonts w:ascii="Times New Roman" w:hAnsi="Times New Roman" w:cs="Times New Roman"/>
                <w:b/>
              </w:rPr>
              <w:t>18,88</w:t>
            </w:r>
          </w:p>
        </w:tc>
      </w:tr>
      <w:tr w:rsidR="00F0412C" w:rsidRPr="00943826" w:rsidTr="00013FEE">
        <w:trPr>
          <w:trHeight w:val="613"/>
        </w:trPr>
        <w:tc>
          <w:tcPr>
            <w:tcW w:w="1418" w:type="dxa"/>
          </w:tcPr>
          <w:p w:rsidR="00F0412C" w:rsidRPr="00380928" w:rsidRDefault="00F0412C" w:rsidP="00BF141E">
            <w:pPr>
              <w:rPr>
                <w:rFonts w:ascii="Times New Roman" w:hAnsi="Times New Roman" w:cs="Times New Roman"/>
              </w:rPr>
            </w:pPr>
            <w:r w:rsidRPr="00380928">
              <w:rPr>
                <w:rFonts w:ascii="Times New Roman" w:hAnsi="Times New Roman" w:cs="Times New Roman"/>
              </w:rPr>
              <w:t>Informacinės  technologijos</w:t>
            </w:r>
          </w:p>
        </w:tc>
        <w:tc>
          <w:tcPr>
            <w:tcW w:w="851"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2319</w:t>
            </w:r>
          </w:p>
        </w:tc>
        <w:tc>
          <w:tcPr>
            <w:tcW w:w="850"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2261</w:t>
            </w:r>
          </w:p>
        </w:tc>
        <w:tc>
          <w:tcPr>
            <w:tcW w:w="993"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97,50</w:t>
            </w:r>
          </w:p>
        </w:tc>
        <w:tc>
          <w:tcPr>
            <w:tcW w:w="992"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58</w:t>
            </w:r>
          </w:p>
        </w:tc>
        <w:tc>
          <w:tcPr>
            <w:tcW w:w="1134" w:type="dxa"/>
          </w:tcPr>
          <w:p w:rsidR="00F0412C" w:rsidRPr="00380928" w:rsidRDefault="00F0412C" w:rsidP="00BF141E">
            <w:pPr>
              <w:jc w:val="center"/>
              <w:rPr>
                <w:rFonts w:ascii="Times New Roman" w:hAnsi="Times New Roman" w:cs="Times New Roman"/>
                <w:b/>
              </w:rPr>
            </w:pPr>
            <w:r w:rsidRPr="00380928">
              <w:rPr>
                <w:rFonts w:ascii="Times New Roman" w:hAnsi="Times New Roman" w:cs="Times New Roman"/>
                <w:b/>
              </w:rPr>
              <w:t>2,50</w:t>
            </w:r>
          </w:p>
        </w:tc>
        <w:tc>
          <w:tcPr>
            <w:tcW w:w="850"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12</w:t>
            </w:r>
          </w:p>
        </w:tc>
        <w:tc>
          <w:tcPr>
            <w:tcW w:w="709"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12</w:t>
            </w:r>
          </w:p>
        </w:tc>
        <w:tc>
          <w:tcPr>
            <w:tcW w:w="992" w:type="dxa"/>
          </w:tcPr>
          <w:p w:rsidR="00F0412C" w:rsidRPr="00380928" w:rsidRDefault="00F0412C" w:rsidP="00BF141E">
            <w:pPr>
              <w:jc w:val="center"/>
              <w:rPr>
                <w:rFonts w:ascii="Times New Roman" w:hAnsi="Times New Roman" w:cs="Times New Roman"/>
                <w:b/>
                <w:i/>
              </w:rPr>
            </w:pPr>
            <w:r w:rsidRPr="00380928">
              <w:rPr>
                <w:rFonts w:ascii="Times New Roman" w:hAnsi="Times New Roman" w:cs="Times New Roman"/>
                <w:b/>
                <w:i/>
              </w:rPr>
              <w:t>100</w:t>
            </w:r>
          </w:p>
        </w:tc>
        <w:tc>
          <w:tcPr>
            <w:tcW w:w="993" w:type="dxa"/>
          </w:tcPr>
          <w:p w:rsidR="00F0412C" w:rsidRPr="00380928" w:rsidRDefault="00F0412C" w:rsidP="00BF141E">
            <w:pPr>
              <w:jc w:val="center"/>
              <w:rPr>
                <w:rFonts w:ascii="Times New Roman" w:hAnsi="Times New Roman" w:cs="Times New Roman"/>
                <w:b/>
              </w:rPr>
            </w:pPr>
            <w:r w:rsidRPr="00380928">
              <w:rPr>
                <w:rFonts w:ascii="Times New Roman" w:hAnsi="Times New Roman" w:cs="Times New Roman"/>
                <w:b/>
              </w:rPr>
              <w:t>0</w:t>
            </w:r>
          </w:p>
        </w:tc>
      </w:tr>
      <w:tr w:rsidR="00F0412C" w:rsidRPr="00943826" w:rsidTr="00013FEE">
        <w:trPr>
          <w:trHeight w:val="613"/>
        </w:trPr>
        <w:tc>
          <w:tcPr>
            <w:tcW w:w="1418" w:type="dxa"/>
          </w:tcPr>
          <w:p w:rsidR="00F0412C" w:rsidRPr="00380928" w:rsidRDefault="00F0412C" w:rsidP="00BF141E">
            <w:pPr>
              <w:rPr>
                <w:rFonts w:ascii="Times New Roman" w:hAnsi="Times New Roman" w:cs="Times New Roman"/>
              </w:rPr>
            </w:pPr>
            <w:r w:rsidRPr="00380928">
              <w:rPr>
                <w:rFonts w:ascii="Times New Roman" w:hAnsi="Times New Roman" w:cs="Times New Roman"/>
              </w:rPr>
              <w:t xml:space="preserve">Matematika </w:t>
            </w:r>
          </w:p>
        </w:tc>
        <w:tc>
          <w:tcPr>
            <w:tcW w:w="851"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16512</w:t>
            </w:r>
          </w:p>
        </w:tc>
        <w:tc>
          <w:tcPr>
            <w:tcW w:w="850"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15743</w:t>
            </w:r>
          </w:p>
        </w:tc>
        <w:tc>
          <w:tcPr>
            <w:tcW w:w="993"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95,34</w:t>
            </w:r>
          </w:p>
        </w:tc>
        <w:tc>
          <w:tcPr>
            <w:tcW w:w="992"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769</w:t>
            </w:r>
          </w:p>
        </w:tc>
        <w:tc>
          <w:tcPr>
            <w:tcW w:w="1134" w:type="dxa"/>
          </w:tcPr>
          <w:p w:rsidR="00F0412C" w:rsidRPr="00380928" w:rsidRDefault="00F0412C" w:rsidP="00BF141E">
            <w:pPr>
              <w:jc w:val="center"/>
              <w:rPr>
                <w:rFonts w:ascii="Times New Roman" w:hAnsi="Times New Roman" w:cs="Times New Roman"/>
                <w:b/>
              </w:rPr>
            </w:pPr>
            <w:r w:rsidRPr="00380928">
              <w:rPr>
                <w:rFonts w:ascii="Times New Roman" w:hAnsi="Times New Roman" w:cs="Times New Roman"/>
                <w:b/>
              </w:rPr>
              <w:t>4,66</w:t>
            </w:r>
          </w:p>
        </w:tc>
        <w:tc>
          <w:tcPr>
            <w:tcW w:w="850"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133</w:t>
            </w:r>
          </w:p>
        </w:tc>
        <w:tc>
          <w:tcPr>
            <w:tcW w:w="709"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128</w:t>
            </w:r>
          </w:p>
        </w:tc>
        <w:tc>
          <w:tcPr>
            <w:tcW w:w="992" w:type="dxa"/>
          </w:tcPr>
          <w:p w:rsidR="00F0412C" w:rsidRPr="00380928" w:rsidRDefault="00F0412C" w:rsidP="00BF141E">
            <w:pPr>
              <w:jc w:val="center"/>
              <w:rPr>
                <w:rFonts w:ascii="Times New Roman" w:hAnsi="Times New Roman" w:cs="Times New Roman"/>
                <w:b/>
              </w:rPr>
            </w:pPr>
            <w:r w:rsidRPr="00380928">
              <w:rPr>
                <w:rFonts w:ascii="Times New Roman" w:hAnsi="Times New Roman" w:cs="Times New Roman"/>
                <w:b/>
              </w:rPr>
              <w:t>96,24</w:t>
            </w:r>
          </w:p>
        </w:tc>
        <w:tc>
          <w:tcPr>
            <w:tcW w:w="993" w:type="dxa"/>
          </w:tcPr>
          <w:p w:rsidR="00F0412C" w:rsidRPr="00380928" w:rsidRDefault="00F0412C" w:rsidP="00BF141E">
            <w:pPr>
              <w:jc w:val="center"/>
              <w:rPr>
                <w:rFonts w:ascii="Times New Roman" w:hAnsi="Times New Roman" w:cs="Times New Roman"/>
                <w:b/>
              </w:rPr>
            </w:pPr>
            <w:r w:rsidRPr="00380928">
              <w:rPr>
                <w:rFonts w:ascii="Times New Roman" w:hAnsi="Times New Roman" w:cs="Times New Roman"/>
                <w:b/>
              </w:rPr>
              <w:t>3,76</w:t>
            </w:r>
          </w:p>
        </w:tc>
      </w:tr>
      <w:tr w:rsidR="00F0412C" w:rsidRPr="00943826" w:rsidTr="00013FEE">
        <w:trPr>
          <w:trHeight w:val="477"/>
        </w:trPr>
        <w:tc>
          <w:tcPr>
            <w:tcW w:w="1418" w:type="dxa"/>
          </w:tcPr>
          <w:p w:rsidR="00F0412C" w:rsidRPr="00380928" w:rsidRDefault="00F0412C" w:rsidP="00BF141E">
            <w:pPr>
              <w:rPr>
                <w:rFonts w:ascii="Times New Roman" w:hAnsi="Times New Roman" w:cs="Times New Roman"/>
              </w:rPr>
            </w:pPr>
            <w:r w:rsidRPr="00380928">
              <w:rPr>
                <w:rFonts w:ascii="Times New Roman" w:hAnsi="Times New Roman" w:cs="Times New Roman"/>
              </w:rPr>
              <w:t xml:space="preserve">Geografija </w:t>
            </w:r>
          </w:p>
        </w:tc>
        <w:tc>
          <w:tcPr>
            <w:tcW w:w="851"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3395</w:t>
            </w:r>
          </w:p>
        </w:tc>
        <w:tc>
          <w:tcPr>
            <w:tcW w:w="850"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3352</w:t>
            </w:r>
          </w:p>
        </w:tc>
        <w:tc>
          <w:tcPr>
            <w:tcW w:w="993"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98,73</w:t>
            </w:r>
          </w:p>
        </w:tc>
        <w:tc>
          <w:tcPr>
            <w:tcW w:w="992"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43</w:t>
            </w:r>
          </w:p>
        </w:tc>
        <w:tc>
          <w:tcPr>
            <w:tcW w:w="1134" w:type="dxa"/>
          </w:tcPr>
          <w:p w:rsidR="00F0412C" w:rsidRPr="00380928" w:rsidRDefault="00F0412C" w:rsidP="00BF141E">
            <w:pPr>
              <w:jc w:val="center"/>
              <w:rPr>
                <w:rFonts w:ascii="Times New Roman" w:hAnsi="Times New Roman" w:cs="Times New Roman"/>
                <w:b/>
              </w:rPr>
            </w:pPr>
            <w:r w:rsidRPr="00380928">
              <w:rPr>
                <w:rFonts w:ascii="Times New Roman" w:hAnsi="Times New Roman" w:cs="Times New Roman"/>
                <w:b/>
              </w:rPr>
              <w:t>1,27</w:t>
            </w:r>
          </w:p>
        </w:tc>
        <w:tc>
          <w:tcPr>
            <w:tcW w:w="850"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67</w:t>
            </w:r>
          </w:p>
        </w:tc>
        <w:tc>
          <w:tcPr>
            <w:tcW w:w="709"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67</w:t>
            </w:r>
          </w:p>
        </w:tc>
        <w:tc>
          <w:tcPr>
            <w:tcW w:w="992" w:type="dxa"/>
          </w:tcPr>
          <w:p w:rsidR="00F0412C" w:rsidRPr="00380928" w:rsidRDefault="00F0412C" w:rsidP="00BF141E">
            <w:pPr>
              <w:jc w:val="center"/>
              <w:rPr>
                <w:rFonts w:ascii="Times New Roman" w:hAnsi="Times New Roman" w:cs="Times New Roman"/>
                <w:b/>
                <w:i/>
              </w:rPr>
            </w:pPr>
            <w:r w:rsidRPr="00380928">
              <w:rPr>
                <w:rFonts w:ascii="Times New Roman" w:hAnsi="Times New Roman" w:cs="Times New Roman"/>
                <w:b/>
                <w:i/>
              </w:rPr>
              <w:t>100</w:t>
            </w:r>
          </w:p>
        </w:tc>
        <w:tc>
          <w:tcPr>
            <w:tcW w:w="993" w:type="dxa"/>
          </w:tcPr>
          <w:p w:rsidR="00F0412C" w:rsidRPr="00380928" w:rsidRDefault="00F0412C" w:rsidP="00BF141E">
            <w:pPr>
              <w:jc w:val="center"/>
              <w:rPr>
                <w:rFonts w:ascii="Times New Roman" w:hAnsi="Times New Roman" w:cs="Times New Roman"/>
                <w:b/>
              </w:rPr>
            </w:pPr>
            <w:r w:rsidRPr="00380928">
              <w:rPr>
                <w:rFonts w:ascii="Times New Roman" w:hAnsi="Times New Roman" w:cs="Times New Roman"/>
                <w:b/>
              </w:rPr>
              <w:t>0</w:t>
            </w:r>
          </w:p>
        </w:tc>
      </w:tr>
      <w:tr w:rsidR="00F0412C" w:rsidRPr="00943826" w:rsidTr="00013FEE">
        <w:trPr>
          <w:trHeight w:val="399"/>
        </w:trPr>
        <w:tc>
          <w:tcPr>
            <w:tcW w:w="1418" w:type="dxa"/>
          </w:tcPr>
          <w:p w:rsidR="00F0412C" w:rsidRPr="00380928" w:rsidRDefault="00F0412C" w:rsidP="00BF141E">
            <w:pPr>
              <w:rPr>
                <w:rFonts w:ascii="Times New Roman" w:hAnsi="Times New Roman" w:cs="Times New Roman"/>
              </w:rPr>
            </w:pPr>
            <w:r w:rsidRPr="00380928">
              <w:rPr>
                <w:rFonts w:ascii="Times New Roman" w:hAnsi="Times New Roman" w:cs="Times New Roman"/>
              </w:rPr>
              <w:t xml:space="preserve">Biologija </w:t>
            </w:r>
          </w:p>
        </w:tc>
        <w:tc>
          <w:tcPr>
            <w:tcW w:w="851"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5874</w:t>
            </w:r>
          </w:p>
        </w:tc>
        <w:tc>
          <w:tcPr>
            <w:tcW w:w="850"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5791</w:t>
            </w:r>
          </w:p>
        </w:tc>
        <w:tc>
          <w:tcPr>
            <w:tcW w:w="993"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98,59</w:t>
            </w:r>
          </w:p>
        </w:tc>
        <w:tc>
          <w:tcPr>
            <w:tcW w:w="992"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i/>
              </w:rPr>
              <w:t>83</w:t>
            </w:r>
          </w:p>
        </w:tc>
        <w:tc>
          <w:tcPr>
            <w:tcW w:w="1134" w:type="dxa"/>
          </w:tcPr>
          <w:p w:rsidR="00F0412C" w:rsidRPr="00380928" w:rsidRDefault="00F0412C" w:rsidP="00BF141E">
            <w:pPr>
              <w:jc w:val="center"/>
              <w:rPr>
                <w:rFonts w:ascii="Times New Roman" w:hAnsi="Times New Roman" w:cs="Times New Roman"/>
                <w:b/>
              </w:rPr>
            </w:pPr>
            <w:r w:rsidRPr="00380928">
              <w:rPr>
                <w:rFonts w:ascii="Times New Roman" w:hAnsi="Times New Roman" w:cs="Times New Roman"/>
                <w:b/>
              </w:rPr>
              <w:t>1,41</w:t>
            </w:r>
          </w:p>
        </w:tc>
        <w:tc>
          <w:tcPr>
            <w:tcW w:w="850"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59</w:t>
            </w:r>
          </w:p>
        </w:tc>
        <w:tc>
          <w:tcPr>
            <w:tcW w:w="709"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56</w:t>
            </w:r>
          </w:p>
        </w:tc>
        <w:tc>
          <w:tcPr>
            <w:tcW w:w="992" w:type="dxa"/>
          </w:tcPr>
          <w:p w:rsidR="00F0412C" w:rsidRPr="00380928" w:rsidRDefault="00F0412C" w:rsidP="00BF141E">
            <w:pPr>
              <w:jc w:val="center"/>
              <w:rPr>
                <w:rFonts w:ascii="Times New Roman" w:hAnsi="Times New Roman" w:cs="Times New Roman"/>
                <w:b/>
                <w:i/>
              </w:rPr>
            </w:pPr>
            <w:r w:rsidRPr="00380928">
              <w:rPr>
                <w:rFonts w:ascii="Times New Roman" w:hAnsi="Times New Roman" w:cs="Times New Roman"/>
                <w:b/>
                <w:i/>
              </w:rPr>
              <w:t>94,92</w:t>
            </w:r>
          </w:p>
        </w:tc>
        <w:tc>
          <w:tcPr>
            <w:tcW w:w="993" w:type="dxa"/>
          </w:tcPr>
          <w:p w:rsidR="00F0412C" w:rsidRPr="00380928" w:rsidRDefault="00491D4A" w:rsidP="00491D4A">
            <w:pPr>
              <w:jc w:val="center"/>
              <w:rPr>
                <w:rFonts w:ascii="Times New Roman" w:hAnsi="Times New Roman" w:cs="Times New Roman"/>
                <w:b/>
              </w:rPr>
            </w:pPr>
            <w:r>
              <w:rPr>
                <w:rFonts w:ascii="Times New Roman" w:hAnsi="Times New Roman" w:cs="Times New Roman"/>
                <w:b/>
              </w:rPr>
              <w:t xml:space="preserve">5, </w:t>
            </w:r>
            <w:r w:rsidR="00F0412C" w:rsidRPr="00380928">
              <w:rPr>
                <w:rFonts w:ascii="Times New Roman" w:hAnsi="Times New Roman" w:cs="Times New Roman"/>
                <w:b/>
              </w:rPr>
              <w:t>8</w:t>
            </w:r>
          </w:p>
        </w:tc>
      </w:tr>
      <w:tr w:rsidR="00F0412C" w:rsidRPr="00943826" w:rsidTr="00013FEE">
        <w:trPr>
          <w:trHeight w:val="619"/>
        </w:trPr>
        <w:tc>
          <w:tcPr>
            <w:tcW w:w="1418" w:type="dxa"/>
          </w:tcPr>
          <w:p w:rsidR="00F0412C" w:rsidRPr="00380928" w:rsidRDefault="00F0412C" w:rsidP="00BF141E">
            <w:pPr>
              <w:rPr>
                <w:rFonts w:ascii="Times New Roman" w:hAnsi="Times New Roman" w:cs="Times New Roman"/>
              </w:rPr>
            </w:pPr>
            <w:r w:rsidRPr="00380928">
              <w:rPr>
                <w:rFonts w:ascii="Times New Roman" w:hAnsi="Times New Roman" w:cs="Times New Roman"/>
              </w:rPr>
              <w:t xml:space="preserve">Istorija </w:t>
            </w:r>
          </w:p>
        </w:tc>
        <w:tc>
          <w:tcPr>
            <w:tcW w:w="851"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9057</w:t>
            </w:r>
          </w:p>
        </w:tc>
        <w:tc>
          <w:tcPr>
            <w:tcW w:w="850"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8947</w:t>
            </w:r>
          </w:p>
        </w:tc>
        <w:tc>
          <w:tcPr>
            <w:tcW w:w="993"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98,79</w:t>
            </w:r>
          </w:p>
        </w:tc>
        <w:tc>
          <w:tcPr>
            <w:tcW w:w="992"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110</w:t>
            </w:r>
          </w:p>
        </w:tc>
        <w:tc>
          <w:tcPr>
            <w:tcW w:w="1134" w:type="dxa"/>
          </w:tcPr>
          <w:p w:rsidR="00F0412C" w:rsidRPr="00380928" w:rsidRDefault="00F0412C" w:rsidP="00BF141E">
            <w:pPr>
              <w:jc w:val="center"/>
              <w:rPr>
                <w:rFonts w:ascii="Times New Roman" w:hAnsi="Times New Roman" w:cs="Times New Roman"/>
                <w:b/>
              </w:rPr>
            </w:pPr>
            <w:r w:rsidRPr="00380928">
              <w:rPr>
                <w:rFonts w:ascii="Times New Roman" w:hAnsi="Times New Roman" w:cs="Times New Roman"/>
                <w:b/>
              </w:rPr>
              <w:t>1,21</w:t>
            </w:r>
          </w:p>
        </w:tc>
        <w:tc>
          <w:tcPr>
            <w:tcW w:w="850"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126</w:t>
            </w:r>
          </w:p>
        </w:tc>
        <w:tc>
          <w:tcPr>
            <w:tcW w:w="709"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119</w:t>
            </w:r>
          </w:p>
        </w:tc>
        <w:tc>
          <w:tcPr>
            <w:tcW w:w="992" w:type="dxa"/>
          </w:tcPr>
          <w:p w:rsidR="00F0412C" w:rsidRPr="00380928" w:rsidRDefault="00F0412C" w:rsidP="00BF141E">
            <w:pPr>
              <w:jc w:val="center"/>
              <w:rPr>
                <w:rFonts w:ascii="Times New Roman" w:hAnsi="Times New Roman" w:cs="Times New Roman"/>
                <w:b/>
                <w:i/>
              </w:rPr>
            </w:pPr>
            <w:r w:rsidRPr="00380928">
              <w:rPr>
                <w:rFonts w:ascii="Times New Roman" w:hAnsi="Times New Roman" w:cs="Times New Roman"/>
                <w:b/>
                <w:i/>
              </w:rPr>
              <w:t>94,44</w:t>
            </w:r>
          </w:p>
        </w:tc>
        <w:tc>
          <w:tcPr>
            <w:tcW w:w="993" w:type="dxa"/>
          </w:tcPr>
          <w:p w:rsidR="00F0412C" w:rsidRPr="00380928" w:rsidRDefault="00F0412C" w:rsidP="00BF141E">
            <w:pPr>
              <w:jc w:val="center"/>
              <w:rPr>
                <w:rFonts w:ascii="Times New Roman" w:hAnsi="Times New Roman" w:cs="Times New Roman"/>
                <w:b/>
              </w:rPr>
            </w:pPr>
            <w:r w:rsidRPr="00380928">
              <w:rPr>
                <w:rFonts w:ascii="Times New Roman" w:hAnsi="Times New Roman" w:cs="Times New Roman"/>
                <w:b/>
              </w:rPr>
              <w:t>5,56</w:t>
            </w:r>
          </w:p>
        </w:tc>
      </w:tr>
      <w:tr w:rsidR="00F0412C" w:rsidRPr="00943826" w:rsidTr="00013FEE">
        <w:trPr>
          <w:trHeight w:val="543"/>
        </w:trPr>
        <w:tc>
          <w:tcPr>
            <w:tcW w:w="1418" w:type="dxa"/>
          </w:tcPr>
          <w:p w:rsidR="00F0412C" w:rsidRPr="00380928" w:rsidRDefault="00F0412C" w:rsidP="00BF141E">
            <w:pPr>
              <w:rPr>
                <w:rFonts w:ascii="Times New Roman" w:hAnsi="Times New Roman" w:cs="Times New Roman"/>
              </w:rPr>
            </w:pPr>
            <w:r w:rsidRPr="00380928">
              <w:rPr>
                <w:rFonts w:ascii="Times New Roman" w:hAnsi="Times New Roman" w:cs="Times New Roman"/>
              </w:rPr>
              <w:t xml:space="preserve">Chemija </w:t>
            </w:r>
          </w:p>
        </w:tc>
        <w:tc>
          <w:tcPr>
            <w:tcW w:w="851"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1514</w:t>
            </w:r>
          </w:p>
        </w:tc>
        <w:tc>
          <w:tcPr>
            <w:tcW w:w="850"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1505</w:t>
            </w:r>
          </w:p>
        </w:tc>
        <w:tc>
          <w:tcPr>
            <w:tcW w:w="993" w:type="dxa"/>
          </w:tcPr>
          <w:p w:rsidR="00F0412C" w:rsidRPr="00380928" w:rsidRDefault="00F0412C" w:rsidP="00BF141E">
            <w:pPr>
              <w:jc w:val="center"/>
              <w:rPr>
                <w:rFonts w:ascii="Times New Roman" w:hAnsi="Times New Roman" w:cs="Times New Roman"/>
                <w:i/>
              </w:rPr>
            </w:pPr>
            <w:r w:rsidRPr="00380928">
              <w:rPr>
                <w:rFonts w:ascii="Times New Roman" w:hAnsi="Times New Roman" w:cs="Times New Roman"/>
                <w:i/>
              </w:rPr>
              <w:t>99,41</w:t>
            </w:r>
          </w:p>
        </w:tc>
        <w:tc>
          <w:tcPr>
            <w:tcW w:w="992"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9</w:t>
            </w:r>
          </w:p>
        </w:tc>
        <w:tc>
          <w:tcPr>
            <w:tcW w:w="1134" w:type="dxa"/>
          </w:tcPr>
          <w:p w:rsidR="00F0412C" w:rsidRPr="00380928" w:rsidRDefault="00F0412C" w:rsidP="00BF141E">
            <w:pPr>
              <w:jc w:val="center"/>
              <w:rPr>
                <w:rFonts w:ascii="Times New Roman" w:hAnsi="Times New Roman" w:cs="Times New Roman"/>
                <w:b/>
              </w:rPr>
            </w:pPr>
            <w:r w:rsidRPr="00380928">
              <w:rPr>
                <w:rFonts w:ascii="Times New Roman" w:hAnsi="Times New Roman" w:cs="Times New Roman"/>
                <w:b/>
              </w:rPr>
              <w:t>0,59</w:t>
            </w:r>
          </w:p>
        </w:tc>
        <w:tc>
          <w:tcPr>
            <w:tcW w:w="850"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15</w:t>
            </w:r>
          </w:p>
        </w:tc>
        <w:tc>
          <w:tcPr>
            <w:tcW w:w="709"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15</w:t>
            </w:r>
          </w:p>
        </w:tc>
        <w:tc>
          <w:tcPr>
            <w:tcW w:w="992" w:type="dxa"/>
          </w:tcPr>
          <w:p w:rsidR="00F0412C" w:rsidRPr="00380928" w:rsidRDefault="00F0412C" w:rsidP="00BF141E">
            <w:pPr>
              <w:jc w:val="center"/>
              <w:rPr>
                <w:rFonts w:ascii="Times New Roman" w:hAnsi="Times New Roman" w:cs="Times New Roman"/>
                <w:b/>
                <w:i/>
              </w:rPr>
            </w:pPr>
            <w:r w:rsidRPr="00380928">
              <w:rPr>
                <w:rFonts w:ascii="Times New Roman" w:hAnsi="Times New Roman" w:cs="Times New Roman"/>
                <w:b/>
                <w:i/>
              </w:rPr>
              <w:t>100</w:t>
            </w:r>
          </w:p>
        </w:tc>
        <w:tc>
          <w:tcPr>
            <w:tcW w:w="993" w:type="dxa"/>
          </w:tcPr>
          <w:p w:rsidR="00F0412C" w:rsidRPr="00380928" w:rsidRDefault="00F0412C" w:rsidP="00BF141E">
            <w:pPr>
              <w:jc w:val="center"/>
              <w:rPr>
                <w:rFonts w:ascii="Times New Roman" w:hAnsi="Times New Roman" w:cs="Times New Roman"/>
                <w:b/>
              </w:rPr>
            </w:pPr>
            <w:r w:rsidRPr="00380928">
              <w:rPr>
                <w:rFonts w:ascii="Times New Roman" w:hAnsi="Times New Roman" w:cs="Times New Roman"/>
                <w:b/>
              </w:rPr>
              <w:t>0</w:t>
            </w:r>
          </w:p>
        </w:tc>
      </w:tr>
      <w:tr w:rsidR="00F0412C" w:rsidRPr="00943826" w:rsidTr="00013FEE">
        <w:trPr>
          <w:trHeight w:val="617"/>
        </w:trPr>
        <w:tc>
          <w:tcPr>
            <w:tcW w:w="1418" w:type="dxa"/>
          </w:tcPr>
          <w:p w:rsidR="00F0412C" w:rsidRPr="00380928" w:rsidRDefault="00F0412C" w:rsidP="00BF141E">
            <w:pPr>
              <w:rPr>
                <w:rFonts w:ascii="Times New Roman" w:hAnsi="Times New Roman" w:cs="Times New Roman"/>
              </w:rPr>
            </w:pPr>
            <w:r w:rsidRPr="00380928">
              <w:rPr>
                <w:rFonts w:ascii="Times New Roman" w:hAnsi="Times New Roman" w:cs="Times New Roman"/>
              </w:rPr>
              <w:t xml:space="preserve">Fizika </w:t>
            </w:r>
          </w:p>
        </w:tc>
        <w:tc>
          <w:tcPr>
            <w:tcW w:w="851"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2399</w:t>
            </w:r>
          </w:p>
        </w:tc>
        <w:tc>
          <w:tcPr>
            <w:tcW w:w="850"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2354</w:t>
            </w:r>
          </w:p>
        </w:tc>
        <w:tc>
          <w:tcPr>
            <w:tcW w:w="993" w:type="dxa"/>
          </w:tcPr>
          <w:p w:rsidR="00F0412C" w:rsidRPr="00380928" w:rsidRDefault="00F0412C" w:rsidP="00BF141E">
            <w:pPr>
              <w:jc w:val="center"/>
              <w:rPr>
                <w:rFonts w:ascii="Times New Roman" w:hAnsi="Times New Roman" w:cs="Times New Roman"/>
                <w:i/>
              </w:rPr>
            </w:pPr>
            <w:r w:rsidRPr="00380928">
              <w:rPr>
                <w:rFonts w:ascii="Times New Roman" w:hAnsi="Times New Roman" w:cs="Times New Roman"/>
                <w:i/>
              </w:rPr>
              <w:t>98,12</w:t>
            </w:r>
          </w:p>
        </w:tc>
        <w:tc>
          <w:tcPr>
            <w:tcW w:w="992"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45</w:t>
            </w:r>
          </w:p>
        </w:tc>
        <w:tc>
          <w:tcPr>
            <w:tcW w:w="1134" w:type="dxa"/>
          </w:tcPr>
          <w:p w:rsidR="00F0412C" w:rsidRPr="00380928" w:rsidRDefault="00F0412C" w:rsidP="00BF141E">
            <w:pPr>
              <w:jc w:val="center"/>
              <w:rPr>
                <w:rFonts w:ascii="Times New Roman" w:hAnsi="Times New Roman" w:cs="Times New Roman"/>
                <w:b/>
              </w:rPr>
            </w:pPr>
            <w:r w:rsidRPr="00380928">
              <w:rPr>
                <w:rFonts w:ascii="Times New Roman" w:hAnsi="Times New Roman" w:cs="Times New Roman"/>
                <w:b/>
              </w:rPr>
              <w:t>1,88</w:t>
            </w:r>
          </w:p>
        </w:tc>
        <w:tc>
          <w:tcPr>
            <w:tcW w:w="850"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31</w:t>
            </w:r>
          </w:p>
        </w:tc>
        <w:tc>
          <w:tcPr>
            <w:tcW w:w="709" w:type="dxa"/>
          </w:tcPr>
          <w:p w:rsidR="00F0412C" w:rsidRPr="00380928" w:rsidRDefault="00F0412C" w:rsidP="00BF141E">
            <w:pPr>
              <w:jc w:val="center"/>
              <w:rPr>
                <w:rFonts w:ascii="Times New Roman" w:hAnsi="Times New Roman" w:cs="Times New Roman"/>
              </w:rPr>
            </w:pPr>
            <w:r w:rsidRPr="00380928">
              <w:rPr>
                <w:rFonts w:ascii="Times New Roman" w:hAnsi="Times New Roman" w:cs="Times New Roman"/>
              </w:rPr>
              <w:t>31</w:t>
            </w:r>
          </w:p>
        </w:tc>
        <w:tc>
          <w:tcPr>
            <w:tcW w:w="992" w:type="dxa"/>
          </w:tcPr>
          <w:p w:rsidR="00F0412C" w:rsidRPr="00380928" w:rsidRDefault="00F0412C" w:rsidP="00BF141E">
            <w:pPr>
              <w:jc w:val="center"/>
              <w:rPr>
                <w:rFonts w:ascii="Times New Roman" w:hAnsi="Times New Roman" w:cs="Times New Roman"/>
                <w:b/>
                <w:i/>
              </w:rPr>
            </w:pPr>
            <w:r w:rsidRPr="00380928">
              <w:rPr>
                <w:rFonts w:ascii="Times New Roman" w:hAnsi="Times New Roman" w:cs="Times New Roman"/>
                <w:b/>
                <w:i/>
              </w:rPr>
              <w:t>100</w:t>
            </w:r>
          </w:p>
        </w:tc>
        <w:tc>
          <w:tcPr>
            <w:tcW w:w="993" w:type="dxa"/>
          </w:tcPr>
          <w:p w:rsidR="00F0412C" w:rsidRPr="00380928" w:rsidRDefault="00F0412C" w:rsidP="00BF141E">
            <w:pPr>
              <w:jc w:val="center"/>
              <w:rPr>
                <w:rFonts w:ascii="Times New Roman" w:hAnsi="Times New Roman" w:cs="Times New Roman"/>
                <w:b/>
              </w:rPr>
            </w:pPr>
            <w:r w:rsidRPr="00380928">
              <w:rPr>
                <w:rFonts w:ascii="Times New Roman" w:hAnsi="Times New Roman" w:cs="Times New Roman"/>
                <w:b/>
              </w:rPr>
              <w:t>0</w:t>
            </w:r>
          </w:p>
        </w:tc>
      </w:tr>
    </w:tbl>
    <w:p w:rsidR="00F0412C" w:rsidRDefault="00F0412C" w:rsidP="00F0412C">
      <w:pPr>
        <w:rPr>
          <w:rFonts w:ascii="Times New Roman" w:eastAsia="Calibri" w:hAnsi="Times New Roman" w:cs="Times New Roman"/>
          <w:sz w:val="24"/>
          <w:szCs w:val="24"/>
        </w:rPr>
      </w:pPr>
    </w:p>
    <w:p w:rsidR="00F0412C" w:rsidRDefault="00D752A4" w:rsidP="0042561D">
      <w:pPr>
        <w:rPr>
          <w:rFonts w:ascii="Times New Roman" w:eastAsia="Calibri" w:hAnsi="Times New Roman" w:cs="Times New Roman"/>
          <w:sz w:val="24"/>
          <w:szCs w:val="24"/>
        </w:rPr>
      </w:pPr>
      <w:r w:rsidRPr="00D752A4">
        <w:rPr>
          <w:rFonts w:ascii="Times New Roman" w:eastAsia="Calibri" w:hAnsi="Times New Roman" w:cs="Times New Roman"/>
          <w:b/>
          <w:sz w:val="24"/>
          <w:szCs w:val="24"/>
        </w:rPr>
        <w:t>Išvada.</w:t>
      </w:r>
      <w:r>
        <w:rPr>
          <w:rFonts w:ascii="Times New Roman" w:eastAsia="Calibri" w:hAnsi="Times New Roman" w:cs="Times New Roman"/>
          <w:sz w:val="24"/>
          <w:szCs w:val="24"/>
        </w:rPr>
        <w:t xml:space="preserve"> </w:t>
      </w:r>
      <w:r w:rsidR="00F0412C" w:rsidRPr="00023C46">
        <w:rPr>
          <w:rFonts w:ascii="Times New Roman" w:eastAsia="Calibri" w:hAnsi="Times New Roman" w:cs="Times New Roman"/>
          <w:sz w:val="24"/>
          <w:szCs w:val="24"/>
        </w:rPr>
        <w:t>Rajone didžiausia mokinių, pasiekusių aukštesnįjį pasiekimų lygį, dalis yra laikiusiųjų</w:t>
      </w:r>
      <w:r w:rsidR="00F0412C">
        <w:rPr>
          <w:rFonts w:ascii="Times New Roman" w:eastAsia="Calibri" w:hAnsi="Times New Roman" w:cs="Times New Roman"/>
          <w:sz w:val="24"/>
          <w:szCs w:val="24"/>
        </w:rPr>
        <w:t xml:space="preserve"> informacinių technologijų (16</w:t>
      </w:r>
      <w:r w:rsidR="00F0412C" w:rsidRPr="00023C46">
        <w:rPr>
          <w:rFonts w:ascii="Times New Roman" w:eastAsia="Calibri" w:hAnsi="Times New Roman" w:cs="Times New Roman"/>
          <w:sz w:val="24"/>
          <w:szCs w:val="24"/>
        </w:rPr>
        <w:t>,</w:t>
      </w:r>
      <w:r w:rsidR="00F0412C">
        <w:rPr>
          <w:rFonts w:ascii="Times New Roman" w:eastAsia="Calibri" w:hAnsi="Times New Roman" w:cs="Times New Roman"/>
          <w:sz w:val="24"/>
          <w:szCs w:val="24"/>
        </w:rPr>
        <w:t>67 proc.) ir</w:t>
      </w:r>
      <w:r w:rsidR="00F0412C" w:rsidRPr="00023C46">
        <w:rPr>
          <w:rFonts w:ascii="Times New Roman" w:eastAsia="Calibri" w:hAnsi="Times New Roman" w:cs="Times New Roman"/>
          <w:sz w:val="24"/>
          <w:szCs w:val="24"/>
        </w:rPr>
        <w:t xml:space="preserve"> </w:t>
      </w:r>
      <w:r w:rsidR="00F0412C">
        <w:rPr>
          <w:rFonts w:ascii="Times New Roman" w:eastAsia="Calibri" w:hAnsi="Times New Roman" w:cs="Times New Roman"/>
          <w:sz w:val="24"/>
          <w:szCs w:val="24"/>
        </w:rPr>
        <w:t>užsienio (anglų) kalbos (13,41 proc.)</w:t>
      </w:r>
      <w:r w:rsidR="00F0412C" w:rsidRPr="00023C46">
        <w:rPr>
          <w:rFonts w:ascii="Times New Roman" w:eastAsia="Calibri" w:hAnsi="Times New Roman" w:cs="Times New Roman"/>
          <w:sz w:val="24"/>
          <w:szCs w:val="24"/>
        </w:rPr>
        <w:t xml:space="preserve"> valstybinius brandos egzaminus. </w:t>
      </w:r>
      <w:r w:rsidR="00F0412C">
        <w:rPr>
          <w:rFonts w:ascii="Times New Roman" w:eastAsia="Calibri" w:hAnsi="Times New Roman" w:cs="Times New Roman"/>
          <w:sz w:val="24"/>
          <w:szCs w:val="24"/>
        </w:rPr>
        <w:t xml:space="preserve">Visi laikiusieji išlaikė chemijos, fizikos, geografijos ir informacinių technologijų brandos egzaminus. Daugiausia neišlaikė lietuvių kalbos ir literatūros brandos egzamino. </w:t>
      </w:r>
    </w:p>
    <w:p w:rsidR="00491D4A" w:rsidRPr="00491D4A" w:rsidRDefault="00491D4A" w:rsidP="0042561D">
      <w:pPr>
        <w:pStyle w:val="NoSpacing"/>
        <w:spacing w:line="276" w:lineRule="auto"/>
        <w:rPr>
          <w:rFonts w:ascii="Times New Roman" w:hAnsi="Times New Roman" w:cs="Times New Roman"/>
          <w:b/>
          <w:sz w:val="24"/>
          <w:szCs w:val="24"/>
        </w:rPr>
      </w:pPr>
      <w:r w:rsidRPr="00491D4A">
        <w:rPr>
          <w:rFonts w:ascii="Times New Roman" w:hAnsi="Times New Roman" w:cs="Times New Roman"/>
          <w:b/>
          <w:sz w:val="24"/>
          <w:szCs w:val="24"/>
        </w:rPr>
        <w:lastRenderedPageBreak/>
        <w:t>Mokymosi sėkmingumas, tolimesnė mokinių veikla</w:t>
      </w:r>
    </w:p>
    <w:p w:rsidR="00491D4A" w:rsidRPr="00491D4A" w:rsidRDefault="00491D4A" w:rsidP="0042561D">
      <w:pPr>
        <w:pStyle w:val="NoSpacing"/>
        <w:spacing w:line="276" w:lineRule="auto"/>
        <w:rPr>
          <w:rFonts w:ascii="Times New Roman" w:hAnsi="Times New Roman" w:cs="Times New Roman"/>
          <w:sz w:val="24"/>
          <w:szCs w:val="24"/>
        </w:rPr>
      </w:pPr>
    </w:p>
    <w:p w:rsidR="00491D4A" w:rsidRPr="00491D4A" w:rsidRDefault="00491D4A" w:rsidP="0042561D">
      <w:pPr>
        <w:pStyle w:val="NoSpacing"/>
        <w:spacing w:line="276" w:lineRule="auto"/>
        <w:rPr>
          <w:rFonts w:ascii="Times New Roman" w:hAnsi="Times New Roman" w:cs="Times New Roman"/>
          <w:sz w:val="24"/>
          <w:szCs w:val="24"/>
        </w:rPr>
      </w:pPr>
      <w:r w:rsidRPr="00491D4A">
        <w:rPr>
          <w:rFonts w:ascii="Times New Roman" w:hAnsi="Times New Roman" w:cs="Times New Roman"/>
          <w:sz w:val="24"/>
          <w:szCs w:val="24"/>
          <w:lang w:eastAsia="lt-LT"/>
        </w:rPr>
        <w:t xml:space="preserve">        </w:t>
      </w:r>
      <w:r w:rsidR="0042561D">
        <w:rPr>
          <w:rFonts w:ascii="Times New Roman" w:hAnsi="Times New Roman" w:cs="Times New Roman"/>
          <w:sz w:val="24"/>
          <w:szCs w:val="24"/>
          <w:lang w:eastAsia="lt-LT"/>
        </w:rPr>
        <w:t xml:space="preserve"> </w:t>
      </w:r>
      <w:r w:rsidRPr="00491D4A">
        <w:rPr>
          <w:rFonts w:ascii="Times New Roman" w:hAnsi="Times New Roman" w:cs="Times New Roman"/>
          <w:sz w:val="24"/>
          <w:szCs w:val="24"/>
          <w:lang w:eastAsia="lt-LT"/>
        </w:rPr>
        <w:t>Mokymosi sėkmę mokykloje lemia mokymosi programų veiksmingumas, mokymosi aplinka, mokytojų asmeninės savybės, tėvų ir visos šeimos teikiama mokymosi pagalba ir asmeninės vaiko savybės, tokios kaip: noras pažinti, motyvacija mokytis, gebėjimas susieti informaciją, pasitikėjimas savimi, gebėjimas sutelkti dėmesį, gebėjimas keistis bei pritaikyti turimas žinias ir kitos savybės, kurių pagrindai įgyjami dar iki mokyklos.</w:t>
      </w:r>
      <w:r w:rsidRPr="00491D4A">
        <w:rPr>
          <w:rFonts w:ascii="Times New Roman" w:hAnsi="Times New Roman" w:cs="Times New Roman"/>
          <w:sz w:val="24"/>
          <w:szCs w:val="24"/>
        </w:rPr>
        <w:t xml:space="preserve"> Išanalizavus mokymosi sėkmingumo duomenis, matyti, kad dalis mokinių paliekami kurso kartoti arba keliami į aukštesnę klasę su nepatenkinamais pažymiais. </w:t>
      </w:r>
    </w:p>
    <w:p w:rsidR="00491D4A" w:rsidRPr="00491D4A" w:rsidRDefault="00491D4A" w:rsidP="0042561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42561D">
        <w:rPr>
          <w:rFonts w:ascii="Times New Roman" w:hAnsi="Times New Roman" w:cs="Times New Roman"/>
          <w:sz w:val="24"/>
          <w:szCs w:val="24"/>
        </w:rPr>
        <w:t xml:space="preserve"> </w:t>
      </w:r>
      <w:r w:rsidRPr="00491D4A">
        <w:rPr>
          <w:rFonts w:ascii="Times New Roman" w:hAnsi="Times New Roman" w:cs="Times New Roman"/>
          <w:sz w:val="24"/>
          <w:szCs w:val="24"/>
        </w:rPr>
        <w:t>Mokymosi sėkmingumas atsispindi tolimesnėje mokinių veikloje.</w:t>
      </w:r>
    </w:p>
    <w:p w:rsidR="00491D4A" w:rsidRDefault="00491D4A" w:rsidP="0042561D">
      <w:pPr>
        <w:pStyle w:val="NoSpacing"/>
        <w:spacing w:line="276" w:lineRule="auto"/>
        <w:rPr>
          <w:rFonts w:ascii="Times New Roman" w:hAnsi="Times New Roman" w:cs="Times New Roman"/>
          <w:sz w:val="24"/>
          <w:szCs w:val="24"/>
        </w:rPr>
      </w:pPr>
      <w:r w:rsidRPr="00491D4A">
        <w:rPr>
          <w:rFonts w:ascii="Times New Roman" w:hAnsi="Times New Roman" w:cs="Times New Roman"/>
          <w:sz w:val="24"/>
          <w:szCs w:val="24"/>
        </w:rPr>
        <w:t xml:space="preserve">Iš  2017 m. baigusių 10 klasę mokinių – 64,1 % tęsia mokslą pagal vidurinio ugdymo programą, 27,3 % mokinių mokosi profesinėse mokyklose, 1,8 % mokinių niekur nesimoko ir nedirba, 0,5 % mokinių pradėjo dirbti, 2,3 % išvyko į užsienį. Palyginus su praėjusiais mokslo metais, daugiau mokinių tęsia mokslą pagal vidurinio ugdymo programą bendrojo ugdymo mokyklose, mažiau (4,1 %) mokinių nuėjo mokytis į profesines mokyklas, tačiau daugiau (1,2 %) buvusių mokinių išvyko į užsienį. </w:t>
      </w:r>
    </w:p>
    <w:p w:rsidR="001971AC" w:rsidRDefault="001971AC" w:rsidP="0042561D">
      <w:pPr>
        <w:pStyle w:val="NoSpacing"/>
        <w:spacing w:line="276" w:lineRule="auto"/>
        <w:rPr>
          <w:rFonts w:ascii="Times New Roman" w:hAnsi="Times New Roman" w:cs="Times New Roman"/>
          <w:sz w:val="24"/>
          <w:szCs w:val="24"/>
        </w:rPr>
      </w:pPr>
    </w:p>
    <w:p w:rsidR="001971AC" w:rsidRDefault="001971AC" w:rsidP="0042561D">
      <w:pPr>
        <w:pStyle w:val="NoSpacing"/>
        <w:spacing w:line="276" w:lineRule="auto"/>
        <w:rPr>
          <w:rFonts w:ascii="Times New Roman" w:hAnsi="Times New Roman" w:cs="Times New Roman"/>
          <w:sz w:val="24"/>
          <w:szCs w:val="24"/>
        </w:rPr>
      </w:pPr>
    </w:p>
    <w:p w:rsidR="00D3323A" w:rsidRDefault="00D3323A" w:rsidP="00491D4A">
      <w:pPr>
        <w:pStyle w:val="NoSpacing"/>
        <w:rPr>
          <w:rFonts w:ascii="Times New Roman" w:hAnsi="Times New Roman" w:cs="Times New Roman"/>
          <w:sz w:val="24"/>
          <w:szCs w:val="24"/>
        </w:rPr>
      </w:pPr>
      <w:r>
        <w:rPr>
          <w:noProof/>
          <w:sz w:val="24"/>
          <w:szCs w:val="24"/>
          <w:lang w:eastAsia="lt-LT"/>
        </w:rPr>
        <w:drawing>
          <wp:inline distT="0" distB="0" distL="0" distR="0">
            <wp:extent cx="5365582" cy="2967487"/>
            <wp:effectExtent l="19050" t="0" r="25568" b="4313"/>
            <wp:docPr id="5"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323A" w:rsidRDefault="00491D4A" w:rsidP="00491D4A">
      <w:pPr>
        <w:rPr>
          <w:rFonts w:ascii="Times New Roman" w:hAnsi="Times New Roman" w:cs="Times New Roman"/>
          <w:noProof/>
          <w:sz w:val="24"/>
          <w:szCs w:val="24"/>
          <w:lang w:eastAsia="lt-LT"/>
        </w:rPr>
      </w:pPr>
      <w:r w:rsidRPr="00491D4A">
        <w:rPr>
          <w:rFonts w:ascii="Times New Roman" w:hAnsi="Times New Roman" w:cs="Times New Roman"/>
          <w:noProof/>
          <w:sz w:val="24"/>
          <w:szCs w:val="24"/>
          <w:lang w:eastAsia="lt-LT"/>
        </w:rPr>
        <w:t xml:space="preserve">       </w:t>
      </w:r>
    </w:p>
    <w:p w:rsidR="00491D4A" w:rsidRDefault="00D3323A" w:rsidP="00491D4A">
      <w:pPr>
        <w:rPr>
          <w:rFonts w:ascii="Times New Roman" w:hAnsi="Times New Roman" w:cs="Times New Roman"/>
          <w:sz w:val="24"/>
          <w:szCs w:val="24"/>
        </w:rPr>
      </w:pPr>
      <w:r>
        <w:rPr>
          <w:rFonts w:ascii="Times New Roman" w:hAnsi="Times New Roman" w:cs="Times New Roman"/>
          <w:noProof/>
          <w:sz w:val="24"/>
          <w:szCs w:val="24"/>
          <w:lang w:eastAsia="lt-LT"/>
        </w:rPr>
        <w:t xml:space="preserve"> Žemiau paveikslėlyje</w:t>
      </w:r>
      <w:r w:rsidR="00491D4A" w:rsidRPr="00491D4A">
        <w:rPr>
          <w:rFonts w:ascii="Times New Roman" w:hAnsi="Times New Roman" w:cs="Times New Roman"/>
          <w:noProof/>
          <w:sz w:val="24"/>
          <w:szCs w:val="24"/>
          <w:lang w:eastAsia="lt-LT"/>
        </w:rPr>
        <w:t xml:space="preserve"> parodytas  ir palygintas tolimesnis abiturientų mokymasis 2016 m. ir 2017  m.</w:t>
      </w:r>
      <w:r w:rsidR="00491D4A" w:rsidRPr="00491D4A">
        <w:rPr>
          <w:rFonts w:ascii="Times New Roman" w:hAnsi="Times New Roman" w:cs="Times New Roman"/>
          <w:sz w:val="24"/>
          <w:szCs w:val="24"/>
        </w:rPr>
        <w:t xml:space="preserve"> </w:t>
      </w:r>
    </w:p>
    <w:p w:rsidR="00491D4A" w:rsidRPr="00491D4A" w:rsidRDefault="00491D4A" w:rsidP="00491D4A">
      <w:pPr>
        <w:pStyle w:val="NoSpacing"/>
        <w:rPr>
          <w:rFonts w:ascii="Times New Roman" w:hAnsi="Times New Roman" w:cs="Times New Roman"/>
          <w:sz w:val="24"/>
          <w:szCs w:val="24"/>
        </w:rPr>
      </w:pPr>
      <w:r>
        <w:rPr>
          <w:noProof/>
          <w:lang w:eastAsia="lt-LT"/>
        </w:rPr>
        <w:lastRenderedPageBreak/>
        <w:drawing>
          <wp:inline distT="0" distB="0" distL="0" distR="0">
            <wp:extent cx="4901445" cy="2156604"/>
            <wp:effectExtent l="19050" t="0" r="13455" b="0"/>
            <wp:docPr id="2"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412C" w:rsidRDefault="00F0412C" w:rsidP="00F0412C">
      <w:pPr>
        <w:rPr>
          <w:rFonts w:ascii="Times New Roman" w:eastAsia="Calibri" w:hAnsi="Times New Roman" w:cs="Times New Roman"/>
        </w:rPr>
      </w:pPr>
    </w:p>
    <w:p w:rsidR="0042561D" w:rsidRDefault="0042561D" w:rsidP="00F0412C">
      <w:pPr>
        <w:rPr>
          <w:rFonts w:ascii="Times New Roman" w:eastAsia="Calibri" w:hAnsi="Times New Roman" w:cs="Times New Roman"/>
          <w:sz w:val="24"/>
          <w:szCs w:val="24"/>
        </w:rPr>
      </w:pPr>
      <w:r>
        <w:rPr>
          <w:rFonts w:ascii="Times New Roman" w:eastAsia="Calibri" w:hAnsi="Times New Roman" w:cs="Times New Roman"/>
          <w:sz w:val="24"/>
          <w:szCs w:val="24"/>
        </w:rPr>
        <w:t>Toliau lentelėje pateikiami paskutinių trejų metų abiturientų skaičius ir gavusių brandos atestatą dalis procentais.</w:t>
      </w:r>
    </w:p>
    <w:tbl>
      <w:tblPr>
        <w:tblStyle w:val="TableGrid"/>
        <w:tblW w:w="0" w:type="auto"/>
        <w:tblLook w:val="04A0"/>
      </w:tblPr>
      <w:tblGrid>
        <w:gridCol w:w="3227"/>
        <w:gridCol w:w="2126"/>
        <w:gridCol w:w="1985"/>
        <w:gridCol w:w="2126"/>
      </w:tblGrid>
      <w:tr w:rsidR="0042561D" w:rsidTr="0042561D">
        <w:tc>
          <w:tcPr>
            <w:tcW w:w="3227" w:type="dxa"/>
          </w:tcPr>
          <w:p w:rsidR="0042561D" w:rsidRPr="0042561D" w:rsidRDefault="0042561D" w:rsidP="0042561D">
            <w:pPr>
              <w:jc w:val="center"/>
              <w:rPr>
                <w:rFonts w:ascii="Times New Roman" w:eastAsia="Calibri" w:hAnsi="Times New Roman" w:cs="Times New Roman"/>
                <w:b/>
                <w:sz w:val="24"/>
                <w:szCs w:val="24"/>
              </w:rPr>
            </w:pPr>
          </w:p>
        </w:tc>
        <w:tc>
          <w:tcPr>
            <w:tcW w:w="2126" w:type="dxa"/>
          </w:tcPr>
          <w:p w:rsidR="0042561D" w:rsidRPr="0042561D" w:rsidRDefault="0042561D" w:rsidP="0042561D">
            <w:pPr>
              <w:jc w:val="center"/>
              <w:rPr>
                <w:rFonts w:ascii="Times New Roman" w:eastAsia="Calibri" w:hAnsi="Times New Roman" w:cs="Times New Roman"/>
                <w:b/>
                <w:sz w:val="24"/>
                <w:szCs w:val="24"/>
              </w:rPr>
            </w:pPr>
            <w:r w:rsidRPr="0042561D">
              <w:rPr>
                <w:rFonts w:ascii="Times New Roman" w:eastAsia="Calibri" w:hAnsi="Times New Roman" w:cs="Times New Roman"/>
                <w:b/>
                <w:sz w:val="24"/>
                <w:szCs w:val="24"/>
              </w:rPr>
              <w:t>2015 m.</w:t>
            </w:r>
          </w:p>
        </w:tc>
        <w:tc>
          <w:tcPr>
            <w:tcW w:w="1985" w:type="dxa"/>
          </w:tcPr>
          <w:p w:rsidR="0042561D" w:rsidRPr="0042561D" w:rsidRDefault="0042561D" w:rsidP="0042561D">
            <w:pPr>
              <w:jc w:val="center"/>
              <w:rPr>
                <w:rFonts w:ascii="Times New Roman" w:eastAsia="Calibri" w:hAnsi="Times New Roman" w:cs="Times New Roman"/>
                <w:b/>
                <w:sz w:val="24"/>
                <w:szCs w:val="24"/>
              </w:rPr>
            </w:pPr>
            <w:r w:rsidRPr="0042561D">
              <w:rPr>
                <w:rFonts w:ascii="Times New Roman" w:eastAsia="Calibri" w:hAnsi="Times New Roman" w:cs="Times New Roman"/>
                <w:b/>
                <w:sz w:val="24"/>
                <w:szCs w:val="24"/>
              </w:rPr>
              <w:t>2016 m.</w:t>
            </w:r>
          </w:p>
        </w:tc>
        <w:tc>
          <w:tcPr>
            <w:tcW w:w="2126" w:type="dxa"/>
          </w:tcPr>
          <w:p w:rsidR="0042561D" w:rsidRPr="0042561D" w:rsidRDefault="0042561D" w:rsidP="0042561D">
            <w:pPr>
              <w:jc w:val="center"/>
              <w:rPr>
                <w:rFonts w:ascii="Times New Roman" w:eastAsia="Calibri" w:hAnsi="Times New Roman" w:cs="Times New Roman"/>
                <w:b/>
                <w:sz w:val="24"/>
                <w:szCs w:val="24"/>
              </w:rPr>
            </w:pPr>
            <w:r w:rsidRPr="0042561D">
              <w:rPr>
                <w:rFonts w:ascii="Times New Roman" w:eastAsia="Calibri" w:hAnsi="Times New Roman" w:cs="Times New Roman"/>
                <w:b/>
                <w:sz w:val="24"/>
                <w:szCs w:val="24"/>
              </w:rPr>
              <w:t>2017 m.</w:t>
            </w:r>
          </w:p>
        </w:tc>
      </w:tr>
      <w:tr w:rsidR="0042561D" w:rsidTr="0042561D">
        <w:tc>
          <w:tcPr>
            <w:tcW w:w="3227" w:type="dxa"/>
          </w:tcPr>
          <w:tbl>
            <w:tblPr>
              <w:tblW w:w="0" w:type="auto"/>
              <w:tblBorders>
                <w:top w:val="nil"/>
                <w:left w:val="nil"/>
                <w:bottom w:val="nil"/>
                <w:right w:val="nil"/>
              </w:tblBorders>
              <w:tblLook w:val="0000"/>
            </w:tblPr>
            <w:tblGrid>
              <w:gridCol w:w="3011"/>
            </w:tblGrid>
            <w:tr w:rsidR="0042561D" w:rsidRPr="0042561D">
              <w:trPr>
                <w:trHeight w:val="758"/>
              </w:trPr>
              <w:tc>
                <w:tcPr>
                  <w:tcW w:w="0" w:type="auto"/>
                </w:tcPr>
                <w:p w:rsidR="0042561D" w:rsidRPr="0042561D" w:rsidRDefault="0042561D" w:rsidP="0042561D">
                  <w:pPr>
                    <w:autoSpaceDE w:val="0"/>
                    <w:autoSpaceDN w:val="0"/>
                    <w:adjustRightInd w:val="0"/>
                    <w:spacing w:after="0" w:line="240" w:lineRule="auto"/>
                    <w:rPr>
                      <w:rFonts w:ascii="Times New Roman" w:hAnsi="Times New Roman" w:cs="Times New Roman"/>
                      <w:color w:val="000000"/>
                    </w:rPr>
                  </w:pPr>
                  <w:r w:rsidRPr="0042561D">
                    <w:rPr>
                      <w:rFonts w:ascii="Times New Roman" w:hAnsi="Times New Roman" w:cs="Times New Roman"/>
                      <w:color w:val="000000"/>
                    </w:rPr>
                    <w:t xml:space="preserve">12 klasėse </w:t>
                  </w:r>
                  <w:r>
                    <w:rPr>
                      <w:rFonts w:ascii="Times New Roman" w:hAnsi="Times New Roman" w:cs="Times New Roman"/>
                      <w:color w:val="000000"/>
                    </w:rPr>
                    <w:t>i</w:t>
                  </w:r>
                  <w:r w:rsidRPr="0042561D">
                    <w:rPr>
                      <w:rFonts w:ascii="Times New Roman" w:hAnsi="Times New Roman" w:cs="Times New Roman"/>
                      <w:color w:val="000000"/>
                    </w:rPr>
                    <w:t xml:space="preserve">r IV gimnazijos klasėse birželio 1 d. besimokančiųjų </w:t>
                  </w:r>
                  <w:r>
                    <w:rPr>
                      <w:rFonts w:ascii="Times New Roman" w:hAnsi="Times New Roman" w:cs="Times New Roman"/>
                      <w:color w:val="000000"/>
                    </w:rPr>
                    <w:t>skaičius</w:t>
                  </w:r>
                </w:p>
              </w:tc>
            </w:tr>
          </w:tbl>
          <w:p w:rsidR="0042561D" w:rsidRDefault="0042561D" w:rsidP="00F0412C">
            <w:pPr>
              <w:rPr>
                <w:rFonts w:ascii="Times New Roman" w:eastAsia="Calibri" w:hAnsi="Times New Roman" w:cs="Times New Roman"/>
                <w:sz w:val="24"/>
                <w:szCs w:val="24"/>
              </w:rPr>
            </w:pPr>
          </w:p>
        </w:tc>
        <w:tc>
          <w:tcPr>
            <w:tcW w:w="2126" w:type="dxa"/>
          </w:tcPr>
          <w:p w:rsidR="0042561D" w:rsidRDefault="0042561D" w:rsidP="00F0412C">
            <w:pPr>
              <w:rPr>
                <w:rFonts w:ascii="Times New Roman" w:eastAsia="Calibri" w:hAnsi="Times New Roman" w:cs="Times New Roman"/>
                <w:sz w:val="24"/>
                <w:szCs w:val="24"/>
              </w:rPr>
            </w:pPr>
            <w:r>
              <w:rPr>
                <w:rFonts w:ascii="Times New Roman" w:eastAsia="Calibri" w:hAnsi="Times New Roman" w:cs="Times New Roman"/>
                <w:sz w:val="24"/>
                <w:szCs w:val="24"/>
              </w:rPr>
              <w:t>207</w:t>
            </w:r>
          </w:p>
        </w:tc>
        <w:tc>
          <w:tcPr>
            <w:tcW w:w="1985" w:type="dxa"/>
          </w:tcPr>
          <w:p w:rsidR="0042561D" w:rsidRDefault="0042561D" w:rsidP="00F0412C">
            <w:pPr>
              <w:rPr>
                <w:rFonts w:ascii="Times New Roman" w:eastAsia="Calibri" w:hAnsi="Times New Roman" w:cs="Times New Roman"/>
                <w:sz w:val="24"/>
                <w:szCs w:val="24"/>
              </w:rPr>
            </w:pPr>
            <w:r>
              <w:rPr>
                <w:rFonts w:ascii="Times New Roman" w:eastAsia="Calibri" w:hAnsi="Times New Roman" w:cs="Times New Roman"/>
                <w:sz w:val="24"/>
                <w:szCs w:val="24"/>
              </w:rPr>
              <w:t>168</w:t>
            </w:r>
          </w:p>
        </w:tc>
        <w:tc>
          <w:tcPr>
            <w:tcW w:w="2126" w:type="dxa"/>
          </w:tcPr>
          <w:p w:rsidR="0042561D" w:rsidRDefault="0042561D" w:rsidP="00F0412C">
            <w:pPr>
              <w:rPr>
                <w:rFonts w:ascii="Times New Roman" w:eastAsia="Calibri" w:hAnsi="Times New Roman" w:cs="Times New Roman"/>
                <w:sz w:val="24"/>
                <w:szCs w:val="24"/>
              </w:rPr>
            </w:pPr>
            <w:r>
              <w:rPr>
                <w:rFonts w:ascii="Times New Roman" w:eastAsia="Calibri" w:hAnsi="Times New Roman" w:cs="Times New Roman"/>
                <w:sz w:val="24"/>
                <w:szCs w:val="24"/>
              </w:rPr>
              <w:t>181</w:t>
            </w:r>
          </w:p>
        </w:tc>
      </w:tr>
      <w:tr w:rsidR="0042561D" w:rsidTr="0042561D">
        <w:tc>
          <w:tcPr>
            <w:tcW w:w="3227" w:type="dxa"/>
          </w:tcPr>
          <w:tbl>
            <w:tblPr>
              <w:tblW w:w="0" w:type="auto"/>
              <w:tblBorders>
                <w:top w:val="nil"/>
                <w:left w:val="nil"/>
                <w:bottom w:val="nil"/>
                <w:right w:val="nil"/>
              </w:tblBorders>
              <w:tblLook w:val="0000"/>
            </w:tblPr>
            <w:tblGrid>
              <w:gridCol w:w="3011"/>
            </w:tblGrid>
            <w:tr w:rsidR="0042561D" w:rsidRPr="0042561D">
              <w:trPr>
                <w:trHeight w:val="487"/>
              </w:trPr>
              <w:tc>
                <w:tcPr>
                  <w:tcW w:w="0" w:type="auto"/>
                </w:tcPr>
                <w:p w:rsidR="0042561D" w:rsidRPr="0042561D" w:rsidRDefault="0042561D" w:rsidP="0042561D">
                  <w:pPr>
                    <w:autoSpaceDE w:val="0"/>
                    <w:autoSpaceDN w:val="0"/>
                    <w:adjustRightInd w:val="0"/>
                    <w:spacing w:after="0" w:line="240" w:lineRule="auto"/>
                    <w:rPr>
                      <w:rFonts w:ascii="Times New Roman" w:hAnsi="Times New Roman" w:cs="Times New Roman"/>
                      <w:color w:val="000000"/>
                    </w:rPr>
                  </w:pPr>
                  <w:r w:rsidRPr="0042561D">
                    <w:rPr>
                      <w:rFonts w:ascii="Times New Roman" w:hAnsi="Times New Roman" w:cs="Times New Roman"/>
                      <w:color w:val="000000"/>
                    </w:rPr>
                    <w:t xml:space="preserve">Baigusių vidurinio </w:t>
                  </w:r>
                  <w:r>
                    <w:rPr>
                      <w:rFonts w:ascii="Times New Roman" w:hAnsi="Times New Roman" w:cs="Times New Roman"/>
                      <w:color w:val="000000"/>
                    </w:rPr>
                    <w:t xml:space="preserve">ugdymo </w:t>
                  </w:r>
                  <w:r w:rsidRPr="0042561D">
                    <w:rPr>
                      <w:rFonts w:ascii="Times New Roman" w:hAnsi="Times New Roman" w:cs="Times New Roman"/>
                      <w:color w:val="000000"/>
                    </w:rPr>
                    <w:t xml:space="preserve">programą </w:t>
                  </w:r>
                  <w:r>
                    <w:rPr>
                      <w:rFonts w:ascii="Times New Roman" w:hAnsi="Times New Roman" w:cs="Times New Roman"/>
                      <w:color w:val="000000"/>
                    </w:rPr>
                    <w:t>dalis</w:t>
                  </w:r>
                  <w:r w:rsidRPr="0042561D">
                    <w:rPr>
                      <w:rFonts w:ascii="Times New Roman" w:hAnsi="Times New Roman" w:cs="Times New Roman"/>
                      <w:color w:val="000000"/>
                    </w:rPr>
                    <w:t xml:space="preserve"> </w:t>
                  </w:r>
                </w:p>
              </w:tc>
            </w:tr>
          </w:tbl>
          <w:p w:rsidR="0042561D" w:rsidRDefault="0042561D" w:rsidP="00F0412C">
            <w:pPr>
              <w:rPr>
                <w:rFonts w:ascii="Times New Roman" w:eastAsia="Calibri" w:hAnsi="Times New Roman" w:cs="Times New Roman"/>
                <w:sz w:val="24"/>
                <w:szCs w:val="24"/>
              </w:rPr>
            </w:pPr>
          </w:p>
        </w:tc>
        <w:tc>
          <w:tcPr>
            <w:tcW w:w="2126" w:type="dxa"/>
          </w:tcPr>
          <w:p w:rsidR="0042561D" w:rsidRDefault="0042561D" w:rsidP="00F0412C">
            <w:pPr>
              <w:rPr>
                <w:rFonts w:ascii="Times New Roman" w:eastAsia="Calibri" w:hAnsi="Times New Roman" w:cs="Times New Roman"/>
                <w:sz w:val="24"/>
                <w:szCs w:val="24"/>
              </w:rPr>
            </w:pPr>
            <w:r>
              <w:rPr>
                <w:rFonts w:ascii="Times New Roman" w:eastAsia="Calibri" w:hAnsi="Times New Roman" w:cs="Times New Roman"/>
                <w:sz w:val="24"/>
                <w:szCs w:val="24"/>
              </w:rPr>
              <w:t xml:space="preserve">93 </w:t>
            </w:r>
            <w:r w:rsidRPr="00491D4A">
              <w:rPr>
                <w:rFonts w:ascii="Times New Roman" w:hAnsi="Times New Roman" w:cs="Times New Roman"/>
                <w:sz w:val="24"/>
                <w:szCs w:val="24"/>
              </w:rPr>
              <w:t>%</w:t>
            </w:r>
          </w:p>
        </w:tc>
        <w:tc>
          <w:tcPr>
            <w:tcW w:w="1985" w:type="dxa"/>
          </w:tcPr>
          <w:p w:rsidR="0042561D" w:rsidRDefault="0042561D" w:rsidP="00F0412C">
            <w:pPr>
              <w:rPr>
                <w:rFonts w:ascii="Times New Roman" w:eastAsia="Calibri" w:hAnsi="Times New Roman" w:cs="Times New Roman"/>
                <w:sz w:val="24"/>
                <w:szCs w:val="24"/>
              </w:rPr>
            </w:pPr>
            <w:r>
              <w:rPr>
                <w:rFonts w:ascii="Times New Roman" w:hAnsi="Times New Roman" w:cs="Times New Roman"/>
                <w:sz w:val="24"/>
                <w:szCs w:val="24"/>
              </w:rPr>
              <w:t xml:space="preserve">90, 5 </w:t>
            </w:r>
            <w:r w:rsidRPr="00491D4A">
              <w:rPr>
                <w:rFonts w:ascii="Times New Roman" w:hAnsi="Times New Roman" w:cs="Times New Roman"/>
                <w:sz w:val="24"/>
                <w:szCs w:val="24"/>
              </w:rPr>
              <w:t>%</w:t>
            </w:r>
          </w:p>
        </w:tc>
        <w:tc>
          <w:tcPr>
            <w:tcW w:w="2126" w:type="dxa"/>
          </w:tcPr>
          <w:p w:rsidR="0042561D" w:rsidRDefault="0042561D" w:rsidP="00F0412C">
            <w:pPr>
              <w:rPr>
                <w:rFonts w:ascii="Times New Roman" w:eastAsia="Calibri" w:hAnsi="Times New Roman" w:cs="Times New Roman"/>
                <w:sz w:val="24"/>
                <w:szCs w:val="24"/>
              </w:rPr>
            </w:pPr>
            <w:r>
              <w:rPr>
                <w:rFonts w:ascii="Times New Roman" w:hAnsi="Times New Roman" w:cs="Times New Roman"/>
                <w:sz w:val="24"/>
                <w:szCs w:val="24"/>
              </w:rPr>
              <w:t xml:space="preserve">97,8 </w:t>
            </w:r>
            <w:r w:rsidRPr="00491D4A">
              <w:rPr>
                <w:rFonts w:ascii="Times New Roman" w:hAnsi="Times New Roman" w:cs="Times New Roman"/>
                <w:sz w:val="24"/>
                <w:szCs w:val="24"/>
              </w:rPr>
              <w:t>%</w:t>
            </w:r>
          </w:p>
        </w:tc>
      </w:tr>
    </w:tbl>
    <w:p w:rsidR="0042561D" w:rsidRDefault="0042561D" w:rsidP="00F0412C">
      <w:pPr>
        <w:rPr>
          <w:rFonts w:ascii="Times New Roman" w:eastAsia="Calibri" w:hAnsi="Times New Roman" w:cs="Times New Roman"/>
          <w:b/>
          <w:sz w:val="24"/>
          <w:szCs w:val="24"/>
        </w:rPr>
      </w:pPr>
    </w:p>
    <w:p w:rsidR="00491D4A" w:rsidRPr="00A744D1" w:rsidRDefault="00491D4A" w:rsidP="001971AC">
      <w:pPr>
        <w:rPr>
          <w:rFonts w:ascii="Times New Roman" w:eastAsia="Calibri" w:hAnsi="Times New Roman" w:cs="Times New Roman"/>
          <w:b/>
          <w:sz w:val="24"/>
          <w:szCs w:val="24"/>
        </w:rPr>
      </w:pPr>
      <w:r w:rsidRPr="00A744D1">
        <w:rPr>
          <w:rFonts w:ascii="Times New Roman" w:eastAsia="Calibri" w:hAnsi="Times New Roman" w:cs="Times New Roman"/>
          <w:b/>
          <w:sz w:val="24"/>
          <w:szCs w:val="24"/>
        </w:rPr>
        <w:t xml:space="preserve">Išvada. </w:t>
      </w:r>
      <w:r w:rsidR="00A744D1" w:rsidRPr="00A744D1">
        <w:rPr>
          <w:rFonts w:ascii="Times New Roman" w:eastAsia="Calibri" w:hAnsi="Times New Roman" w:cs="Times New Roman"/>
          <w:b/>
          <w:sz w:val="24"/>
          <w:szCs w:val="24"/>
        </w:rPr>
        <w:t xml:space="preserve">Palyginus dviejų paskutinių metų dešimtokų tolimesnę veiklą matyti, kad daugiau 10 klasę baigusių mokinių toliau mokosi vidurinio ugdymo programoje. </w:t>
      </w:r>
      <w:r w:rsidR="0042561D">
        <w:rPr>
          <w:rFonts w:ascii="Times New Roman" w:eastAsia="Calibri" w:hAnsi="Times New Roman" w:cs="Times New Roman"/>
          <w:b/>
          <w:sz w:val="24"/>
          <w:szCs w:val="24"/>
        </w:rPr>
        <w:t xml:space="preserve">Išaugo vidurinio ugdymo programą baigusių abiturientų dalis. </w:t>
      </w:r>
      <w:r w:rsidRPr="00A744D1">
        <w:rPr>
          <w:rFonts w:ascii="Times New Roman" w:eastAsia="Calibri" w:hAnsi="Times New Roman" w:cs="Times New Roman"/>
          <w:b/>
          <w:sz w:val="24"/>
          <w:szCs w:val="24"/>
        </w:rPr>
        <w:t xml:space="preserve">Abiturientų, kurie baigę vidurinį ugdymą mokosi toliau, padaugėjo (pažanga padaryta). </w:t>
      </w:r>
    </w:p>
    <w:p w:rsidR="0042561D" w:rsidRDefault="0042561D" w:rsidP="001971AC">
      <w:pPr>
        <w:pStyle w:val="Default"/>
        <w:spacing w:line="276" w:lineRule="auto"/>
        <w:rPr>
          <w:b/>
        </w:rPr>
      </w:pPr>
    </w:p>
    <w:p w:rsidR="00EB578B" w:rsidRDefault="00EB578B" w:rsidP="001971AC">
      <w:pPr>
        <w:pStyle w:val="Default"/>
        <w:spacing w:line="276" w:lineRule="auto"/>
        <w:rPr>
          <w:b/>
        </w:rPr>
      </w:pPr>
      <w:r w:rsidRPr="00EB578B">
        <w:rPr>
          <w:b/>
        </w:rPr>
        <w:t>Nemokamas maitinimas</w:t>
      </w:r>
    </w:p>
    <w:p w:rsidR="00105C93" w:rsidRPr="00EB578B" w:rsidRDefault="00105C93" w:rsidP="001971AC">
      <w:pPr>
        <w:pStyle w:val="Default"/>
        <w:spacing w:line="276" w:lineRule="auto"/>
        <w:rPr>
          <w:b/>
        </w:rPr>
      </w:pPr>
    </w:p>
    <w:p w:rsidR="00EB578B" w:rsidRPr="00EB578B" w:rsidRDefault="00EB578B" w:rsidP="001971AC">
      <w:pPr>
        <w:ind w:firstLine="709"/>
        <w:rPr>
          <w:rFonts w:ascii="Times New Roman" w:eastAsia="Calibri" w:hAnsi="Times New Roman" w:cs="Times New Roman"/>
          <w:sz w:val="24"/>
          <w:szCs w:val="24"/>
        </w:rPr>
      </w:pPr>
      <w:r w:rsidRPr="00EB578B">
        <w:rPr>
          <w:rFonts w:ascii="Times New Roman" w:eastAsia="Calibri" w:hAnsi="Times New Roman" w:cs="Times New Roman"/>
          <w:sz w:val="24"/>
          <w:szCs w:val="24"/>
        </w:rPr>
        <w:t>2017 m. lapkričio mėn. duomenimis mokinių nemokamo maitinimo ataskaitoje pažymėta, kad nemokamą maitinimą gavo 611 mokinių, tai sudaro 25 % visų mokinių. 2016 m. nemokamą maitinimą gavo 678 mokiniai, tai sudarė 31 % nuo visų besimokančių mokinių.</w:t>
      </w:r>
      <w:r>
        <w:rPr>
          <w:rFonts w:ascii="Times New Roman" w:eastAsia="Calibri" w:hAnsi="Times New Roman" w:cs="Times New Roman"/>
          <w:sz w:val="24"/>
          <w:szCs w:val="24"/>
        </w:rPr>
        <w:t xml:space="preserve"> Nemokamą maitinimą gaunančių mokinių skaičius sumažėjo. </w:t>
      </w:r>
      <w:r w:rsidR="00105C93">
        <w:rPr>
          <w:rFonts w:ascii="Times New Roman" w:eastAsia="Calibri" w:hAnsi="Times New Roman" w:cs="Times New Roman"/>
          <w:sz w:val="24"/>
          <w:szCs w:val="24"/>
        </w:rPr>
        <w:t xml:space="preserve">Toliau lentelėje parodytas nemokamą maitinimą gaunančių mokinių skaičiaus pokytis per paskutinius trejus metus. Nemokamą maitinimą gaunančių moksleivių sumažėjo. </w:t>
      </w:r>
    </w:p>
    <w:tbl>
      <w:tblPr>
        <w:tblStyle w:val="TableGrid"/>
        <w:tblW w:w="0" w:type="auto"/>
        <w:tblLook w:val="04A0"/>
      </w:tblPr>
      <w:tblGrid>
        <w:gridCol w:w="1481"/>
        <w:gridCol w:w="1462"/>
        <w:gridCol w:w="1843"/>
        <w:gridCol w:w="1559"/>
        <w:gridCol w:w="1560"/>
        <w:gridCol w:w="1559"/>
      </w:tblGrid>
      <w:tr w:rsidR="00105C93" w:rsidTr="0042561D">
        <w:tc>
          <w:tcPr>
            <w:tcW w:w="2943" w:type="dxa"/>
            <w:gridSpan w:val="2"/>
          </w:tcPr>
          <w:p w:rsidR="00105C93" w:rsidRDefault="00105C93" w:rsidP="00105C93">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2015 m.</w:t>
            </w:r>
          </w:p>
        </w:tc>
        <w:tc>
          <w:tcPr>
            <w:tcW w:w="3402" w:type="dxa"/>
            <w:gridSpan w:val="2"/>
          </w:tcPr>
          <w:p w:rsidR="00105C93" w:rsidRDefault="00105C93" w:rsidP="00105C93">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2016 m.</w:t>
            </w:r>
          </w:p>
        </w:tc>
        <w:tc>
          <w:tcPr>
            <w:tcW w:w="3119" w:type="dxa"/>
            <w:gridSpan w:val="2"/>
          </w:tcPr>
          <w:p w:rsidR="00105C93" w:rsidRDefault="00105C93" w:rsidP="00105C93">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2017 m.</w:t>
            </w:r>
          </w:p>
        </w:tc>
      </w:tr>
      <w:tr w:rsidR="00105C93" w:rsidTr="0042561D">
        <w:tc>
          <w:tcPr>
            <w:tcW w:w="1481" w:type="dxa"/>
          </w:tcPr>
          <w:p w:rsidR="00105C93" w:rsidRDefault="00105C93" w:rsidP="00105C93">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Skaičius</w:t>
            </w:r>
          </w:p>
        </w:tc>
        <w:tc>
          <w:tcPr>
            <w:tcW w:w="1462" w:type="dxa"/>
          </w:tcPr>
          <w:p w:rsidR="00105C93" w:rsidRDefault="00105C93" w:rsidP="00105C93">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Dalis</w:t>
            </w:r>
          </w:p>
        </w:tc>
        <w:tc>
          <w:tcPr>
            <w:tcW w:w="1843" w:type="dxa"/>
          </w:tcPr>
          <w:p w:rsidR="00105C93" w:rsidRDefault="00105C93" w:rsidP="00105C93">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Skaičius</w:t>
            </w:r>
          </w:p>
        </w:tc>
        <w:tc>
          <w:tcPr>
            <w:tcW w:w="1559" w:type="dxa"/>
          </w:tcPr>
          <w:p w:rsidR="00105C93" w:rsidRDefault="00105C93" w:rsidP="00105C93">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Dalis</w:t>
            </w:r>
          </w:p>
        </w:tc>
        <w:tc>
          <w:tcPr>
            <w:tcW w:w="1560" w:type="dxa"/>
          </w:tcPr>
          <w:p w:rsidR="00105C93" w:rsidRDefault="00105C93" w:rsidP="00105C93">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Skaičius</w:t>
            </w:r>
          </w:p>
        </w:tc>
        <w:tc>
          <w:tcPr>
            <w:tcW w:w="1559" w:type="dxa"/>
          </w:tcPr>
          <w:p w:rsidR="00105C93" w:rsidRDefault="00105C93" w:rsidP="00105C93">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Dalis</w:t>
            </w:r>
          </w:p>
        </w:tc>
      </w:tr>
      <w:tr w:rsidR="00105C93" w:rsidTr="0042561D">
        <w:tc>
          <w:tcPr>
            <w:tcW w:w="1481" w:type="dxa"/>
          </w:tcPr>
          <w:p w:rsidR="00105C93" w:rsidRDefault="00105C93" w:rsidP="00105C93">
            <w:pPr>
              <w:pStyle w:val="NoSpacing"/>
              <w:spacing w:line="276" w:lineRule="auto"/>
              <w:jc w:val="center"/>
              <w:rPr>
                <w:rFonts w:ascii="Times New Roman" w:hAnsi="Times New Roman" w:cs="Times New Roman"/>
                <w:sz w:val="24"/>
                <w:szCs w:val="24"/>
              </w:rPr>
            </w:pPr>
          </w:p>
          <w:p w:rsidR="00105C93" w:rsidRPr="00105C93" w:rsidRDefault="00105C93" w:rsidP="00105C93">
            <w:pPr>
              <w:pStyle w:val="NoSpacing"/>
              <w:spacing w:line="276" w:lineRule="auto"/>
              <w:jc w:val="center"/>
              <w:rPr>
                <w:rFonts w:ascii="Times New Roman" w:hAnsi="Times New Roman" w:cs="Times New Roman"/>
                <w:sz w:val="24"/>
                <w:szCs w:val="24"/>
              </w:rPr>
            </w:pPr>
            <w:r w:rsidRPr="00105C93">
              <w:rPr>
                <w:rFonts w:ascii="Times New Roman" w:hAnsi="Times New Roman" w:cs="Times New Roman"/>
                <w:sz w:val="24"/>
                <w:szCs w:val="24"/>
              </w:rPr>
              <w:t>877</w:t>
            </w:r>
          </w:p>
        </w:tc>
        <w:tc>
          <w:tcPr>
            <w:tcW w:w="1462" w:type="dxa"/>
          </w:tcPr>
          <w:p w:rsidR="00105C93" w:rsidRDefault="00105C93" w:rsidP="00105C93">
            <w:pPr>
              <w:pStyle w:val="NoSpacing"/>
              <w:spacing w:line="276" w:lineRule="auto"/>
              <w:jc w:val="center"/>
              <w:rPr>
                <w:rFonts w:ascii="Times New Roman" w:hAnsi="Times New Roman" w:cs="Times New Roman"/>
                <w:sz w:val="24"/>
                <w:szCs w:val="24"/>
              </w:rPr>
            </w:pPr>
          </w:p>
          <w:p w:rsidR="00105C93" w:rsidRPr="00105C93" w:rsidRDefault="00105C93" w:rsidP="00105C93">
            <w:pPr>
              <w:pStyle w:val="NoSpacing"/>
              <w:spacing w:line="276" w:lineRule="auto"/>
              <w:jc w:val="center"/>
              <w:rPr>
                <w:rFonts w:ascii="Times New Roman" w:hAnsi="Times New Roman" w:cs="Times New Roman"/>
                <w:sz w:val="24"/>
                <w:szCs w:val="24"/>
              </w:rPr>
            </w:pPr>
            <w:r w:rsidRPr="00105C93">
              <w:rPr>
                <w:rFonts w:ascii="Times New Roman" w:hAnsi="Times New Roman" w:cs="Times New Roman"/>
                <w:sz w:val="24"/>
                <w:szCs w:val="24"/>
              </w:rPr>
              <w:t xml:space="preserve">31 </w:t>
            </w:r>
            <w:r w:rsidRPr="00105C93">
              <w:rPr>
                <w:rFonts w:ascii="Times New Roman" w:eastAsia="Calibri" w:hAnsi="Times New Roman" w:cs="Times New Roman"/>
                <w:sz w:val="24"/>
                <w:szCs w:val="24"/>
              </w:rPr>
              <w:t>%</w:t>
            </w:r>
          </w:p>
        </w:tc>
        <w:tc>
          <w:tcPr>
            <w:tcW w:w="1843" w:type="dxa"/>
          </w:tcPr>
          <w:p w:rsidR="00105C93" w:rsidRDefault="00105C93" w:rsidP="00105C93">
            <w:pPr>
              <w:pStyle w:val="NoSpacing"/>
              <w:spacing w:line="276" w:lineRule="auto"/>
              <w:jc w:val="center"/>
              <w:rPr>
                <w:rFonts w:ascii="Times New Roman" w:hAnsi="Times New Roman" w:cs="Times New Roman"/>
                <w:sz w:val="24"/>
                <w:szCs w:val="24"/>
              </w:rPr>
            </w:pPr>
          </w:p>
          <w:p w:rsidR="00105C93" w:rsidRPr="00105C93" w:rsidRDefault="00105C93" w:rsidP="00105C93">
            <w:pPr>
              <w:pStyle w:val="NoSpacing"/>
              <w:spacing w:line="276" w:lineRule="auto"/>
              <w:jc w:val="center"/>
              <w:rPr>
                <w:rFonts w:ascii="Times New Roman" w:hAnsi="Times New Roman" w:cs="Times New Roman"/>
                <w:sz w:val="24"/>
                <w:szCs w:val="24"/>
              </w:rPr>
            </w:pPr>
            <w:r w:rsidRPr="00105C93">
              <w:rPr>
                <w:rFonts w:ascii="Times New Roman" w:hAnsi="Times New Roman" w:cs="Times New Roman"/>
                <w:sz w:val="24"/>
                <w:szCs w:val="24"/>
              </w:rPr>
              <w:t>678</w:t>
            </w:r>
          </w:p>
        </w:tc>
        <w:tc>
          <w:tcPr>
            <w:tcW w:w="1559" w:type="dxa"/>
          </w:tcPr>
          <w:p w:rsidR="00105C93" w:rsidRDefault="00105C93" w:rsidP="00105C93">
            <w:pPr>
              <w:pStyle w:val="NoSpacing"/>
              <w:spacing w:line="276" w:lineRule="auto"/>
              <w:jc w:val="center"/>
              <w:rPr>
                <w:rFonts w:ascii="Times New Roman" w:hAnsi="Times New Roman" w:cs="Times New Roman"/>
                <w:sz w:val="24"/>
                <w:szCs w:val="24"/>
              </w:rPr>
            </w:pPr>
          </w:p>
          <w:p w:rsidR="00105C93" w:rsidRPr="00105C93" w:rsidRDefault="00105C93" w:rsidP="00105C93">
            <w:pPr>
              <w:pStyle w:val="NoSpacing"/>
              <w:spacing w:line="276" w:lineRule="auto"/>
              <w:jc w:val="center"/>
              <w:rPr>
                <w:rFonts w:ascii="Times New Roman" w:hAnsi="Times New Roman" w:cs="Times New Roman"/>
                <w:sz w:val="24"/>
                <w:szCs w:val="24"/>
              </w:rPr>
            </w:pPr>
            <w:r w:rsidRPr="00105C93">
              <w:rPr>
                <w:rFonts w:ascii="Times New Roman" w:hAnsi="Times New Roman" w:cs="Times New Roman"/>
                <w:sz w:val="24"/>
                <w:szCs w:val="24"/>
              </w:rPr>
              <w:t>25</w:t>
            </w:r>
            <w:r w:rsidRPr="00105C93">
              <w:rPr>
                <w:rFonts w:ascii="Times New Roman" w:eastAsia="Calibri" w:hAnsi="Times New Roman" w:cs="Times New Roman"/>
                <w:sz w:val="24"/>
                <w:szCs w:val="24"/>
              </w:rPr>
              <w:t>%</w:t>
            </w:r>
          </w:p>
        </w:tc>
        <w:tc>
          <w:tcPr>
            <w:tcW w:w="1560" w:type="dxa"/>
          </w:tcPr>
          <w:p w:rsidR="00105C93" w:rsidRDefault="00105C93" w:rsidP="00105C93">
            <w:pPr>
              <w:pStyle w:val="NoSpacing"/>
              <w:spacing w:line="276" w:lineRule="auto"/>
              <w:jc w:val="center"/>
              <w:rPr>
                <w:rFonts w:ascii="Times New Roman" w:hAnsi="Times New Roman" w:cs="Times New Roman"/>
                <w:sz w:val="24"/>
                <w:szCs w:val="24"/>
              </w:rPr>
            </w:pPr>
          </w:p>
          <w:p w:rsidR="00105C93" w:rsidRPr="00105C93" w:rsidRDefault="00105C93" w:rsidP="00105C93">
            <w:pPr>
              <w:pStyle w:val="NoSpacing"/>
              <w:spacing w:line="276" w:lineRule="auto"/>
              <w:jc w:val="center"/>
              <w:rPr>
                <w:rFonts w:ascii="Times New Roman" w:hAnsi="Times New Roman" w:cs="Times New Roman"/>
                <w:sz w:val="24"/>
                <w:szCs w:val="24"/>
              </w:rPr>
            </w:pPr>
            <w:r w:rsidRPr="00105C93">
              <w:rPr>
                <w:rFonts w:ascii="Times New Roman" w:hAnsi="Times New Roman" w:cs="Times New Roman"/>
                <w:sz w:val="24"/>
                <w:szCs w:val="24"/>
              </w:rPr>
              <w:t>611</w:t>
            </w:r>
          </w:p>
        </w:tc>
        <w:tc>
          <w:tcPr>
            <w:tcW w:w="1559" w:type="dxa"/>
          </w:tcPr>
          <w:p w:rsidR="00105C93" w:rsidRDefault="00105C93" w:rsidP="00105C93">
            <w:pPr>
              <w:pStyle w:val="NoSpacing"/>
              <w:spacing w:line="276" w:lineRule="auto"/>
              <w:jc w:val="center"/>
              <w:rPr>
                <w:rFonts w:ascii="Times New Roman" w:hAnsi="Times New Roman" w:cs="Times New Roman"/>
                <w:sz w:val="24"/>
                <w:szCs w:val="24"/>
              </w:rPr>
            </w:pPr>
          </w:p>
          <w:p w:rsidR="00105C93" w:rsidRPr="00105C93" w:rsidRDefault="00105C93" w:rsidP="00105C93">
            <w:pPr>
              <w:pStyle w:val="NoSpacing"/>
              <w:spacing w:line="276" w:lineRule="auto"/>
              <w:jc w:val="center"/>
              <w:rPr>
                <w:rFonts w:ascii="Times New Roman" w:hAnsi="Times New Roman" w:cs="Times New Roman"/>
                <w:sz w:val="24"/>
                <w:szCs w:val="24"/>
              </w:rPr>
            </w:pPr>
            <w:r w:rsidRPr="00105C93">
              <w:rPr>
                <w:rFonts w:ascii="Times New Roman" w:hAnsi="Times New Roman" w:cs="Times New Roman"/>
                <w:sz w:val="24"/>
                <w:szCs w:val="24"/>
              </w:rPr>
              <w:t>25</w:t>
            </w:r>
            <w:r w:rsidRPr="00105C93">
              <w:rPr>
                <w:rFonts w:ascii="Times New Roman" w:eastAsia="Calibri" w:hAnsi="Times New Roman" w:cs="Times New Roman"/>
                <w:sz w:val="24"/>
                <w:szCs w:val="24"/>
              </w:rPr>
              <w:t>%</w:t>
            </w:r>
          </w:p>
        </w:tc>
      </w:tr>
    </w:tbl>
    <w:p w:rsidR="0042561D" w:rsidRDefault="0042561D" w:rsidP="0042561D">
      <w:pPr>
        <w:pStyle w:val="NoSpacing"/>
        <w:spacing w:line="276" w:lineRule="auto"/>
        <w:rPr>
          <w:rFonts w:ascii="Times New Roman" w:hAnsi="Times New Roman" w:cs="Times New Roman"/>
          <w:b/>
          <w:sz w:val="24"/>
          <w:szCs w:val="24"/>
        </w:rPr>
      </w:pPr>
    </w:p>
    <w:p w:rsidR="0042561D" w:rsidRDefault="0042561D" w:rsidP="0042561D">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 xml:space="preserve">Išvada. Nemokamą maitinimą gaunančių mokinių dalis sumažėjo. </w:t>
      </w:r>
    </w:p>
    <w:p w:rsidR="006601C3" w:rsidRDefault="006601C3" w:rsidP="006601C3">
      <w:pPr>
        <w:jc w:val="center"/>
      </w:pPr>
    </w:p>
    <w:p w:rsidR="006601C3" w:rsidRDefault="006601C3" w:rsidP="006601C3">
      <w:pPr>
        <w:jc w:val="center"/>
      </w:pPr>
      <w:r>
        <w:t>____________________________________</w:t>
      </w:r>
    </w:p>
    <w:p w:rsidR="006601C3" w:rsidRPr="00EB578B" w:rsidRDefault="006601C3" w:rsidP="0042561D">
      <w:pPr>
        <w:pStyle w:val="NoSpacing"/>
        <w:spacing w:line="276" w:lineRule="auto"/>
        <w:rPr>
          <w:rFonts w:ascii="Times New Roman" w:hAnsi="Times New Roman" w:cs="Times New Roman"/>
          <w:b/>
          <w:sz w:val="24"/>
          <w:szCs w:val="24"/>
        </w:rPr>
      </w:pPr>
    </w:p>
    <w:sectPr w:rsidR="006601C3" w:rsidRPr="00EB578B" w:rsidSect="00D3323A">
      <w:pgSz w:w="11906" w:h="16838"/>
      <w:pgMar w:top="1560"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969B9"/>
    <w:multiLevelType w:val="hybridMultilevel"/>
    <w:tmpl w:val="46409C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9D65157"/>
    <w:multiLevelType w:val="hybridMultilevel"/>
    <w:tmpl w:val="32B0003C"/>
    <w:lvl w:ilvl="0" w:tplc="488A4FC8">
      <w:start w:val="5"/>
      <w:numFmt w:val="bullet"/>
      <w:lvlText w:val=""/>
      <w:lvlJc w:val="left"/>
      <w:pPr>
        <w:ind w:left="1211" w:hanging="360"/>
      </w:pPr>
      <w:rPr>
        <w:rFonts w:ascii="Symbol" w:eastAsia="Times New Roman" w:hAnsi="Symbol" w:cs="Times New Roman" w:hint="default"/>
      </w:rPr>
    </w:lvl>
    <w:lvl w:ilvl="1" w:tplc="04270003">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
    <w:nsid w:val="1FF415DB"/>
    <w:multiLevelType w:val="hybridMultilevel"/>
    <w:tmpl w:val="71FAF9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E4D0DF3"/>
    <w:multiLevelType w:val="hybridMultilevel"/>
    <w:tmpl w:val="327E53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6163693"/>
    <w:multiLevelType w:val="hybridMultilevel"/>
    <w:tmpl w:val="CA34B6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6B8E7844"/>
    <w:multiLevelType w:val="hybridMultilevel"/>
    <w:tmpl w:val="31CA69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75371499"/>
    <w:multiLevelType w:val="hybridMultilevel"/>
    <w:tmpl w:val="B5EEDA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76B712BE"/>
    <w:multiLevelType w:val="hybridMultilevel"/>
    <w:tmpl w:val="4DFAF5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5"/>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characterSpacingControl w:val="doNotCompress"/>
  <w:compat/>
  <w:rsids>
    <w:rsidRoot w:val="00506286"/>
    <w:rsid w:val="00013FEE"/>
    <w:rsid w:val="000746C7"/>
    <w:rsid w:val="0007595D"/>
    <w:rsid w:val="00077001"/>
    <w:rsid w:val="00093F7A"/>
    <w:rsid w:val="000F025A"/>
    <w:rsid w:val="00105C93"/>
    <w:rsid w:val="001971AC"/>
    <w:rsid w:val="001A4D90"/>
    <w:rsid w:val="001A6C15"/>
    <w:rsid w:val="002C193D"/>
    <w:rsid w:val="00365061"/>
    <w:rsid w:val="00380928"/>
    <w:rsid w:val="00423A53"/>
    <w:rsid w:val="0042561D"/>
    <w:rsid w:val="00491D4A"/>
    <w:rsid w:val="004B4318"/>
    <w:rsid w:val="00506286"/>
    <w:rsid w:val="006601C3"/>
    <w:rsid w:val="006A3A24"/>
    <w:rsid w:val="006A6522"/>
    <w:rsid w:val="006D2663"/>
    <w:rsid w:val="007846EE"/>
    <w:rsid w:val="008176BE"/>
    <w:rsid w:val="0082166C"/>
    <w:rsid w:val="0083231A"/>
    <w:rsid w:val="008A3E81"/>
    <w:rsid w:val="00A017C2"/>
    <w:rsid w:val="00A1424A"/>
    <w:rsid w:val="00A51B3A"/>
    <w:rsid w:val="00A744D1"/>
    <w:rsid w:val="00B00A48"/>
    <w:rsid w:val="00B2791B"/>
    <w:rsid w:val="00C465D0"/>
    <w:rsid w:val="00CC25CF"/>
    <w:rsid w:val="00D3047C"/>
    <w:rsid w:val="00D3323A"/>
    <w:rsid w:val="00D752A4"/>
    <w:rsid w:val="00D846FC"/>
    <w:rsid w:val="00DC5A4F"/>
    <w:rsid w:val="00EA5A2E"/>
    <w:rsid w:val="00EB578B"/>
    <w:rsid w:val="00F01208"/>
    <w:rsid w:val="00F0412C"/>
    <w:rsid w:val="00F7385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286"/>
    <w:pPr>
      <w:spacing w:after="0" w:line="240" w:lineRule="auto"/>
    </w:pPr>
  </w:style>
  <w:style w:type="paragraph" w:styleId="ListParagraph">
    <w:name w:val="List Paragraph"/>
    <w:basedOn w:val="Normal"/>
    <w:uiPriority w:val="34"/>
    <w:qFormat/>
    <w:rsid w:val="00506286"/>
    <w:pPr>
      <w:ind w:left="720"/>
      <w:contextualSpacing/>
    </w:pPr>
    <w:rPr>
      <w:rFonts w:ascii="Calibri" w:eastAsia="Calibri" w:hAnsi="Calibri" w:cs="Times New Roman"/>
    </w:rPr>
  </w:style>
  <w:style w:type="paragraph" w:styleId="NormalWeb">
    <w:name w:val="Normal (Web)"/>
    <w:aliases w:val="Обычный (Web)"/>
    <w:basedOn w:val="Normal"/>
    <w:unhideWhenUsed/>
    <w:rsid w:val="00506286"/>
    <w:pPr>
      <w:spacing w:after="0" w:line="240" w:lineRule="auto"/>
    </w:pPr>
    <w:rPr>
      <w:rFonts w:ascii="Times New Roman" w:eastAsia="Calibri" w:hAnsi="Times New Roman" w:cs="Times New Roman"/>
      <w:sz w:val="24"/>
      <w:szCs w:val="24"/>
      <w:lang w:eastAsia="lt-LT"/>
    </w:rPr>
  </w:style>
  <w:style w:type="paragraph" w:styleId="Header">
    <w:name w:val="header"/>
    <w:aliases w:val=" Diagrama Diagrama Char Char Diagrama Diagrama Char Diagrama Char,Diagrama Diagrama Char Char Diagrama Diagrama Char Char Diagrama Char, Diagrama Diagrama Char Char Diagrama Diagrama Char Diagrama Char Diagrama Diagrama Char Char"/>
    <w:basedOn w:val="Normal"/>
    <w:link w:val="HeaderChar"/>
    <w:uiPriority w:val="99"/>
    <w:rsid w:val="00CC25CF"/>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HeaderChar">
    <w:name w:val="Header Char"/>
    <w:aliases w:val=" Diagrama Diagrama Char Char Diagrama Diagrama Char Diagrama Char Char,Diagrama Diagrama Char Char Diagrama Diagrama Char Char Diagrama Char Char"/>
    <w:basedOn w:val="DefaultParagraphFont"/>
    <w:link w:val="Header"/>
    <w:uiPriority w:val="99"/>
    <w:rsid w:val="00CC25CF"/>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CC2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5CF"/>
    <w:rPr>
      <w:rFonts w:ascii="Tahoma" w:hAnsi="Tahoma" w:cs="Tahoma"/>
      <w:sz w:val="16"/>
      <w:szCs w:val="16"/>
    </w:rPr>
  </w:style>
  <w:style w:type="paragraph" w:customStyle="1" w:styleId="Default">
    <w:name w:val="Default"/>
    <w:rsid w:val="0036506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table" w:styleId="TableGrid">
    <w:name w:val="Table Grid"/>
    <w:basedOn w:val="TableNormal"/>
    <w:uiPriority w:val="59"/>
    <w:rsid w:val="001A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nhideWhenUsed/>
    <w:rsid w:val="000746C7"/>
    <w:pPr>
      <w:suppressAutoHyphens/>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rsid w:val="000746C7"/>
    <w:rPr>
      <w:rFonts w:ascii="Times New Roman" w:eastAsia="Times New Roman"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21092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srvmain\users\zinkvl\My%20Documents\ATASKAITOS%20Skyr\2017%20RodikliuDiagramos.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dairmn\Desktop\Ikimokyklinis%20ugdymas.xls"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srvmain\users\zinkvl\My%20Documents\ATASKAITOS%20Skyr\2017%20RodikliuDiagramo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rvmain\users\zinkvl\My%20Documents\1%20Dokumentai\1%20NAUJI\TolimesnisMokymasis%2012%20Kl\2017%2010%2016\RajonoSuvestineDiagra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rvmain\users\zinkvl\My%20Documents\1%20Dokumentai\1%20NAUJI\TolimesnisMokymasis%2012%20Kl\2017%2010%2016\RajonoSuvestineDiagr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lt-LT" sz="1200" b="1" i="0" baseline="0"/>
              <a:t>Mokinių skaičiaus kaita bendrojo ugdymo mokyklose</a:t>
            </a:r>
            <a:endParaRPr lang="lt-LT"/>
          </a:p>
        </c:rich>
      </c:tx>
    </c:title>
    <c:view3D>
      <c:depthPercent val="100"/>
      <c:rAngAx val="1"/>
    </c:view3D>
    <c:plotArea>
      <c:layout/>
      <c:bar3DChart>
        <c:barDir val="bar"/>
        <c:grouping val="clustered"/>
        <c:ser>
          <c:idx val="0"/>
          <c:order val="0"/>
          <c:dLbls>
            <c:txPr>
              <a:bodyPr/>
              <a:lstStyle/>
              <a:p>
                <a:pPr>
                  <a:defRPr b="1"/>
                </a:pPr>
                <a:endParaRPr lang="lt-LT"/>
              </a:p>
            </c:txPr>
            <c:showVal val="1"/>
          </c:dLbls>
          <c:cat>
            <c:strRef>
              <c:f>'Rodikl 3 p.'!$B$102:$B$108</c:f>
              <c:strCache>
                <c:ptCount val="7"/>
                <c:pt idx="0">
                  <c:v>Per 5 metus sumažėjo</c:v>
                </c:pt>
                <c:pt idx="2">
                  <c:v>2013 m. rugsėjo 1 d.</c:v>
                </c:pt>
                <c:pt idx="3">
                  <c:v>2014 m. rugsėjo 1 d.</c:v>
                </c:pt>
                <c:pt idx="4">
                  <c:v>2015 m. rugsėjo 1 d.</c:v>
                </c:pt>
                <c:pt idx="5">
                  <c:v>2016 m. rugsėjo 1 d.</c:v>
                </c:pt>
                <c:pt idx="6">
                  <c:v>2017 m. rugsėjo 1 d.</c:v>
                </c:pt>
              </c:strCache>
            </c:strRef>
          </c:cat>
          <c:val>
            <c:numRef>
              <c:f>'Rodikl 3 p.'!$C$102:$C$108</c:f>
              <c:numCache>
                <c:formatCode>General</c:formatCode>
                <c:ptCount val="7"/>
                <c:pt idx="0">
                  <c:v>721</c:v>
                </c:pt>
                <c:pt idx="2">
                  <c:v>3073</c:v>
                </c:pt>
                <c:pt idx="3">
                  <c:v>2906</c:v>
                </c:pt>
                <c:pt idx="4" formatCode="0;[Red]0">
                  <c:v>2709</c:v>
                </c:pt>
                <c:pt idx="5">
                  <c:v>2577</c:v>
                </c:pt>
                <c:pt idx="6">
                  <c:v>2352</c:v>
                </c:pt>
              </c:numCache>
            </c:numRef>
          </c:val>
        </c:ser>
        <c:dLbls>
          <c:showVal val="1"/>
        </c:dLbls>
        <c:shape val="cylinder"/>
        <c:axId val="102539264"/>
        <c:axId val="102540800"/>
        <c:axId val="0"/>
      </c:bar3DChart>
      <c:catAx>
        <c:axId val="102539264"/>
        <c:scaling>
          <c:orientation val="minMax"/>
        </c:scaling>
        <c:axPos val="l"/>
        <c:numFmt formatCode="yyyy/m/d" sourceLinked="1"/>
        <c:majorTickMark val="none"/>
        <c:tickLblPos val="nextTo"/>
        <c:txPr>
          <a:bodyPr/>
          <a:lstStyle/>
          <a:p>
            <a:pPr>
              <a:defRPr b="1"/>
            </a:pPr>
            <a:endParaRPr lang="lt-LT"/>
          </a:p>
        </c:txPr>
        <c:crossAx val="102540800"/>
        <c:crosses val="autoZero"/>
        <c:auto val="1"/>
        <c:lblAlgn val="ctr"/>
        <c:lblOffset val="100"/>
      </c:catAx>
      <c:valAx>
        <c:axId val="102540800"/>
        <c:scaling>
          <c:orientation val="minMax"/>
        </c:scaling>
        <c:delete val="1"/>
        <c:axPos val="b"/>
        <c:numFmt formatCode="General" sourceLinked="1"/>
        <c:tickLblPos val="none"/>
        <c:crossAx val="102539264"/>
        <c:crosses val="autoZero"/>
        <c:crossBetween val="between"/>
      </c:valAx>
      <c:spPr>
        <a:noFill/>
        <a:ln w="25400">
          <a:noFill/>
        </a:ln>
      </c:spPr>
    </c:plotArea>
    <c:plotVisOnly val="1"/>
    <c:dispBlanksAs val="gap"/>
  </c:chart>
  <c:spPr>
    <a:solidFill>
      <a:schemeClr val="bg1">
        <a:lumMod val="95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t-L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Inst</a:t>
            </a:r>
            <a:r>
              <a:rPr lang="lt-LT"/>
              <a:t>i</a:t>
            </a:r>
            <a:r>
              <a:rPr lang="en-US"/>
              <a:t>tu</a:t>
            </a:r>
            <a:r>
              <a:rPr lang="lt-LT"/>
              <a:t>ciniame ugdyme dalyvaujantys</a:t>
            </a:r>
            <a:r>
              <a:rPr lang="lt-LT" baseline="0"/>
              <a:t> ikimokyklinio ir priešmokyklinio amžiaus vaikai</a:t>
            </a:r>
            <a:endParaRPr lang="en-US"/>
          </a:p>
        </c:rich>
      </c:tx>
      <c:spPr>
        <a:solidFill>
          <a:schemeClr val="accent6">
            <a:lumMod val="20000"/>
            <a:lumOff val="80000"/>
          </a:schemeClr>
        </a:solidFill>
        <a:ln>
          <a:noFill/>
        </a:ln>
        <a:effectLst/>
      </c:spPr>
    </c:title>
    <c:plotArea>
      <c:layout/>
      <c:barChart>
        <c:barDir val="col"/>
        <c:grouping val="clustered"/>
        <c:ser>
          <c:idx val="0"/>
          <c:order val="0"/>
          <c:spPr>
            <a:solidFill>
              <a:schemeClr val="accent1"/>
            </a:solidFill>
            <a:ln>
              <a:noFill/>
            </a:ln>
            <a:effectLst/>
          </c:spPr>
          <c:dLbls>
            <c:spPr>
              <a:solidFill>
                <a:schemeClr val="accent5">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Sheet8!$E$12:$L$12</c:f>
              <c:strCache>
                <c:ptCount val="8"/>
                <c:pt idx="0">
                  <c:v>2010-2011</c:v>
                </c:pt>
                <c:pt idx="1">
                  <c:v>2011-2012</c:v>
                </c:pt>
                <c:pt idx="2">
                  <c:v>2012-2013</c:v>
                </c:pt>
                <c:pt idx="3">
                  <c:v>2013-2014</c:v>
                </c:pt>
                <c:pt idx="4">
                  <c:v>2014-2015</c:v>
                </c:pt>
                <c:pt idx="5">
                  <c:v>2015-2016</c:v>
                </c:pt>
                <c:pt idx="6">
                  <c:v>2016-2017</c:v>
                </c:pt>
                <c:pt idx="7">
                  <c:v>2017-2018</c:v>
                </c:pt>
              </c:strCache>
            </c:strRef>
          </c:cat>
          <c:val>
            <c:numRef>
              <c:f>Sheet8!$E$13:$L$13</c:f>
              <c:numCache>
                <c:formatCode>General</c:formatCode>
                <c:ptCount val="8"/>
                <c:pt idx="0">
                  <c:v>684</c:v>
                </c:pt>
                <c:pt idx="1">
                  <c:v>682</c:v>
                </c:pt>
                <c:pt idx="2">
                  <c:v>735</c:v>
                </c:pt>
                <c:pt idx="3">
                  <c:v>753</c:v>
                </c:pt>
                <c:pt idx="4">
                  <c:v>750</c:v>
                </c:pt>
                <c:pt idx="5">
                  <c:v>736</c:v>
                </c:pt>
                <c:pt idx="6">
                  <c:v>774</c:v>
                </c:pt>
                <c:pt idx="7">
                  <c:v>776</c:v>
                </c:pt>
              </c:numCache>
            </c:numRef>
          </c:val>
          <c:extLst xmlns:c16r2="http://schemas.microsoft.com/office/drawing/2015/06/chart">
            <c:ext xmlns:c16="http://schemas.microsoft.com/office/drawing/2014/chart" uri="{C3380CC4-5D6E-409C-BE32-E72D297353CC}">
              <c16:uniqueId val="{00000000-5D0B-465F-AA82-9FAE46E74721}"/>
            </c:ext>
          </c:extLst>
        </c:ser>
        <c:gapWidth val="219"/>
        <c:overlap val="-27"/>
        <c:axId val="85862656"/>
        <c:axId val="85876736"/>
      </c:barChart>
      <c:catAx>
        <c:axId val="85862656"/>
        <c:scaling>
          <c:orientation val="minMax"/>
        </c:scaling>
        <c:axPos val="b"/>
        <c:numFmt formatCode="General" sourceLinked="1"/>
        <c:majorTickMark val="none"/>
        <c:tickLblPos val="nextTo"/>
        <c:spPr>
          <a:solidFill>
            <a:schemeClr val="accent1">
              <a:lumMod val="20000"/>
              <a:lumOff val="80000"/>
            </a:schemeClr>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85876736"/>
        <c:crosses val="autoZero"/>
        <c:auto val="1"/>
        <c:lblAlgn val="ctr"/>
        <c:lblOffset val="100"/>
      </c:catAx>
      <c:valAx>
        <c:axId val="858767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85862656"/>
        <c:crosses val="autoZero"/>
        <c:crossBetween val="between"/>
      </c:valAx>
      <c:spPr>
        <a:noFill/>
        <a:ln>
          <a:noFill/>
        </a:ln>
        <a:effectLst/>
      </c:spPr>
    </c:plotArea>
    <c:plotVisOnly val="1"/>
    <c:dispBlanksAs val="gap"/>
  </c:chart>
  <c:spPr>
    <a:solidFill>
      <a:schemeClr val="accent3">
        <a:lumMod val="20000"/>
        <a:lumOff val="80000"/>
      </a:schemeClr>
    </a:solidFill>
    <a:ln w="9525" cap="flat" cmpd="sng" algn="ctr">
      <a:solidFill>
        <a:schemeClr val="tx1">
          <a:lumMod val="15000"/>
          <a:lumOff val="85000"/>
        </a:schemeClr>
      </a:solidFill>
      <a:round/>
    </a:ln>
    <a:effectLst/>
  </c:spPr>
  <c:txPr>
    <a:bodyPr/>
    <a:lstStyle/>
    <a:p>
      <a:pPr>
        <a:defRPr/>
      </a:pPr>
      <a:endParaRPr lang="lt-LT"/>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t-LT"/>
  <c:style val="27"/>
  <c:chart>
    <c:title>
      <c:tx>
        <c:rich>
          <a:bodyPr/>
          <a:lstStyle/>
          <a:p>
            <a:pPr>
              <a:defRPr/>
            </a:pPr>
            <a:r>
              <a:rPr lang="lt-LT" sz="1400"/>
              <a:t>Vidutinis mokinių skaičius klasėse (rugsėjo 1 d.)</a:t>
            </a:r>
          </a:p>
        </c:rich>
      </c:tx>
    </c:title>
    <c:view3D>
      <c:depthPercent val="100"/>
      <c:rAngAx val="1"/>
    </c:view3D>
    <c:plotArea>
      <c:layout>
        <c:manualLayout>
          <c:layoutTarget val="inner"/>
          <c:xMode val="edge"/>
          <c:yMode val="edge"/>
          <c:x val="0.47701324266284933"/>
          <c:y val="0.17835155646774756"/>
          <c:w val="0.47298675733715195"/>
          <c:h val="0.78545355852061749"/>
        </c:manualLayout>
      </c:layout>
      <c:bar3DChart>
        <c:barDir val="bar"/>
        <c:grouping val="clustered"/>
        <c:ser>
          <c:idx val="0"/>
          <c:order val="0"/>
          <c:tx>
            <c:strRef>
              <c:f>PagalProgram!$C$174:$C$175</c:f>
              <c:strCache>
                <c:ptCount val="1"/>
                <c:pt idx="0">
                  <c:v>2015–2016 m. m.</c:v>
                </c:pt>
              </c:strCache>
            </c:strRef>
          </c:tx>
          <c:dLbls>
            <c:dLbl>
              <c:idx val="0"/>
              <c:layout>
                <c:manualLayout>
                  <c:x val="0"/>
                  <c:y val="1.3937282229965165E-2"/>
                </c:manualLayout>
              </c:layout>
              <c:showVal val="1"/>
            </c:dLbl>
            <c:dLbl>
              <c:idx val="2"/>
              <c:layout>
                <c:manualLayout>
                  <c:x val="2.5000000000000001E-2"/>
                  <c:y val="1.1136887695887583E-2"/>
                </c:manualLayout>
              </c:layout>
              <c:showVal val="1"/>
            </c:dLbl>
            <c:dLbl>
              <c:idx val="4"/>
              <c:layout>
                <c:manualLayout>
                  <c:x val="4.5454545454545504E-3"/>
                  <c:y val="5.5684438479437813E-3"/>
                </c:manualLayout>
              </c:layout>
              <c:showVal val="1"/>
            </c:dLbl>
            <c:dLbl>
              <c:idx val="6"/>
              <c:layout>
                <c:manualLayout>
                  <c:x val="0"/>
                  <c:y val="1.3921109619859484E-2"/>
                </c:manualLayout>
              </c:layout>
              <c:showVal val="1"/>
            </c:dLbl>
            <c:dLbl>
              <c:idx val="10"/>
              <c:layout>
                <c:manualLayout>
                  <c:x val="0"/>
                  <c:y val="2.2273775391775181E-2"/>
                </c:manualLayout>
              </c:layout>
              <c:showVal val="1"/>
            </c:dLbl>
            <c:dLbl>
              <c:idx val="12"/>
              <c:layout>
                <c:manualLayout>
                  <c:x val="-1.5909090909090904E-2"/>
                  <c:y val="5.5684438479437813E-3"/>
                </c:manualLayout>
              </c:layout>
              <c:showVal val="1"/>
            </c:dLbl>
            <c:dLbl>
              <c:idx val="18"/>
              <c:layout>
                <c:manualLayout>
                  <c:x val="-4.5454545454545504E-3"/>
                  <c:y val="1.1136887695887583E-2"/>
                </c:manualLayout>
              </c:layout>
              <c:showVal val="1"/>
            </c:dLbl>
            <c:txPr>
              <a:bodyPr/>
              <a:lstStyle/>
              <a:p>
                <a:pPr>
                  <a:defRPr b="1"/>
                </a:pPr>
                <a:endParaRPr lang="lt-LT"/>
              </a:p>
            </c:txPr>
            <c:showVal val="1"/>
          </c:dLbls>
          <c:cat>
            <c:strRef>
              <c:f>PagalProgram!$B$176:$B$196</c:f>
              <c:strCache>
                <c:ptCount val="21"/>
                <c:pt idx="0">
                  <c:v>Jaunimo ir suaugusiųjų mokykla</c:v>
                </c:pt>
                <c:pt idx="2">
                  <c:v>Kriukų pagrindinė mokykla</c:v>
                </c:pt>
                <c:pt idx="4">
                  <c:v>Gasčiūnų pagrindinė mokykla</c:v>
                </c:pt>
                <c:pt idx="6">
                  <c:v>Gataučių Marcės Katiliūtės mokykla</c:v>
                </c:pt>
                <c:pt idx="8">
                  <c:v>„Saulės“ pagrindinės mokyklos Plikiškių  skyrius </c:v>
                </c:pt>
                <c:pt idx="10">
                  <c:v>„Saulės“ pagrindinė mokykla</c:v>
                </c:pt>
                <c:pt idx="12">
                  <c:v>Mato Slančiausko progimnazija</c:v>
                </c:pt>
                <c:pt idx="14">
                  <c:v>Skaistgirio gimnazija</c:v>
                </c:pt>
                <c:pt idx="16">
                  <c:v>Žagarės gimnazija</c:v>
                </c:pt>
                <c:pt idx="18">
                  <c:v>„Aušros“ gimnazija</c:v>
                </c:pt>
                <c:pt idx="20">
                  <c:v>Joniškio rajonas</c:v>
                </c:pt>
              </c:strCache>
            </c:strRef>
          </c:cat>
          <c:val>
            <c:numRef>
              <c:f>PagalProgram!$C$176:$C$196</c:f>
              <c:numCache>
                <c:formatCode>General</c:formatCode>
                <c:ptCount val="21"/>
                <c:pt idx="0">
                  <c:v>17.8</c:v>
                </c:pt>
                <c:pt idx="2">
                  <c:v>11.6</c:v>
                </c:pt>
                <c:pt idx="4">
                  <c:v>11.4</c:v>
                </c:pt>
                <c:pt idx="6">
                  <c:v>14.5</c:v>
                </c:pt>
                <c:pt idx="8">
                  <c:v>9</c:v>
                </c:pt>
                <c:pt idx="10">
                  <c:v>23.8</c:v>
                </c:pt>
                <c:pt idx="12">
                  <c:v>23.1</c:v>
                </c:pt>
                <c:pt idx="14">
                  <c:v>21</c:v>
                </c:pt>
                <c:pt idx="16">
                  <c:v>19.399999999999999</c:v>
                </c:pt>
                <c:pt idx="18">
                  <c:v>24.7</c:v>
                </c:pt>
                <c:pt idx="20">
                  <c:v>19.350000000000001</c:v>
                </c:pt>
              </c:numCache>
            </c:numRef>
          </c:val>
        </c:ser>
        <c:ser>
          <c:idx val="1"/>
          <c:order val="1"/>
          <c:tx>
            <c:strRef>
              <c:f>PagalProgram!$D$174:$D$175</c:f>
              <c:strCache>
                <c:ptCount val="1"/>
                <c:pt idx="0">
                  <c:v>2016–2017 m. m.</c:v>
                </c:pt>
              </c:strCache>
            </c:strRef>
          </c:tx>
          <c:dLbls>
            <c:dLbl>
              <c:idx val="2"/>
              <c:layout>
                <c:manualLayout>
                  <c:x val="-9.090909090909028E-3"/>
                  <c:y val="5.5684438479436799E-3"/>
                </c:manualLayout>
              </c:layout>
              <c:showVal val="1"/>
            </c:dLbl>
            <c:dLbl>
              <c:idx val="10"/>
              <c:layout>
                <c:manualLayout>
                  <c:x val="3.1806552289992712E-2"/>
                  <c:y val="2.7841641746001304E-3"/>
                </c:manualLayout>
              </c:layout>
              <c:showVal val="1"/>
            </c:dLbl>
            <c:dLbl>
              <c:idx val="12"/>
              <c:layout>
                <c:manualLayout>
                  <c:x val="2.7272727272727323E-2"/>
                  <c:y val="-5.5684438479437813E-3"/>
                </c:manualLayout>
              </c:layout>
              <c:showVal val="1"/>
            </c:dLbl>
            <c:dLbl>
              <c:idx val="14"/>
              <c:layout>
                <c:manualLayout>
                  <c:x val="0"/>
                  <c:y val="-1.1136887695887583E-2"/>
                </c:manualLayout>
              </c:layout>
              <c:showVal val="1"/>
            </c:dLbl>
            <c:dLbl>
              <c:idx val="16"/>
              <c:layout>
                <c:manualLayout>
                  <c:x val="0"/>
                  <c:y val="-8.3526657719156811E-3"/>
                </c:manualLayout>
              </c:layout>
              <c:showVal val="1"/>
            </c:dLbl>
            <c:dLbl>
              <c:idx val="20"/>
              <c:layout>
                <c:manualLayout>
                  <c:x val="2.2727272727272809E-3"/>
                  <c:y val="-8.3526657719156811E-3"/>
                </c:manualLayout>
              </c:layout>
              <c:showVal val="1"/>
            </c:dLbl>
            <c:txPr>
              <a:bodyPr/>
              <a:lstStyle/>
              <a:p>
                <a:pPr>
                  <a:defRPr b="1"/>
                </a:pPr>
                <a:endParaRPr lang="lt-LT"/>
              </a:p>
            </c:txPr>
            <c:showVal val="1"/>
          </c:dLbls>
          <c:cat>
            <c:strRef>
              <c:f>PagalProgram!$B$176:$B$196</c:f>
              <c:strCache>
                <c:ptCount val="21"/>
                <c:pt idx="0">
                  <c:v>Jaunimo ir suaugusiųjų mokykla</c:v>
                </c:pt>
                <c:pt idx="2">
                  <c:v>Kriukų pagrindinė mokykla</c:v>
                </c:pt>
                <c:pt idx="4">
                  <c:v>Gasčiūnų pagrindinė mokykla</c:v>
                </c:pt>
                <c:pt idx="6">
                  <c:v>Gataučių Marcės Katiliūtės mokykla</c:v>
                </c:pt>
                <c:pt idx="8">
                  <c:v>„Saulės“ pagrindinės mokyklos Plikiškių  skyrius </c:v>
                </c:pt>
                <c:pt idx="10">
                  <c:v>„Saulės“ pagrindinė mokykla</c:v>
                </c:pt>
                <c:pt idx="12">
                  <c:v>Mato Slančiausko progimnazija</c:v>
                </c:pt>
                <c:pt idx="14">
                  <c:v>Skaistgirio gimnazija</c:v>
                </c:pt>
                <c:pt idx="16">
                  <c:v>Žagarės gimnazija</c:v>
                </c:pt>
                <c:pt idx="18">
                  <c:v>„Aušros“ gimnazija</c:v>
                </c:pt>
                <c:pt idx="20">
                  <c:v>Joniškio rajonas</c:v>
                </c:pt>
              </c:strCache>
            </c:strRef>
          </c:cat>
          <c:val>
            <c:numRef>
              <c:f>PagalProgram!$D$176:$D$196</c:f>
              <c:numCache>
                <c:formatCode>General</c:formatCode>
                <c:ptCount val="21"/>
                <c:pt idx="0">
                  <c:v>20.5</c:v>
                </c:pt>
                <c:pt idx="2">
                  <c:v>11.1</c:v>
                </c:pt>
                <c:pt idx="4">
                  <c:v>11</c:v>
                </c:pt>
                <c:pt idx="6">
                  <c:v>13.7</c:v>
                </c:pt>
                <c:pt idx="8">
                  <c:v>11.5</c:v>
                </c:pt>
                <c:pt idx="10">
                  <c:v>21.4</c:v>
                </c:pt>
                <c:pt idx="12">
                  <c:v>21.8</c:v>
                </c:pt>
                <c:pt idx="14">
                  <c:v>19.8</c:v>
                </c:pt>
                <c:pt idx="16">
                  <c:v>20.9</c:v>
                </c:pt>
                <c:pt idx="18">
                  <c:v>25</c:v>
                </c:pt>
                <c:pt idx="20">
                  <c:v>18.399999999999999</c:v>
                </c:pt>
              </c:numCache>
            </c:numRef>
          </c:val>
        </c:ser>
        <c:ser>
          <c:idx val="2"/>
          <c:order val="2"/>
          <c:tx>
            <c:strRef>
              <c:f>PagalProgram!$E$174:$E$175</c:f>
              <c:strCache>
                <c:ptCount val="1"/>
                <c:pt idx="0">
                  <c:v>2017–2018 m. m.</c:v>
                </c:pt>
              </c:strCache>
            </c:strRef>
          </c:tx>
          <c:dLbls>
            <c:dLbl>
              <c:idx val="4"/>
              <c:layout>
                <c:manualLayout>
                  <c:x val="-4.5454545454545504E-3"/>
                  <c:y val="-1.3921109619859484E-2"/>
                </c:manualLayout>
              </c:layout>
              <c:showVal val="1"/>
            </c:dLbl>
            <c:dLbl>
              <c:idx val="6"/>
              <c:layout>
                <c:manualLayout>
                  <c:x val="8.3332370670676964E-17"/>
                  <c:y val="-1.3921109619859484E-2"/>
                </c:manualLayout>
              </c:layout>
              <c:showVal val="1"/>
            </c:dLbl>
            <c:dLbl>
              <c:idx val="8"/>
              <c:layout>
                <c:manualLayout>
                  <c:x val="0"/>
                  <c:y val="-8.3526657719156811E-3"/>
                </c:manualLayout>
              </c:layout>
              <c:showVal val="1"/>
            </c:dLbl>
            <c:dLbl>
              <c:idx val="10"/>
              <c:layout>
                <c:manualLayout>
                  <c:x val="0"/>
                  <c:y val="-1.1136887695887583E-2"/>
                </c:manualLayout>
              </c:layout>
              <c:showVal val="1"/>
            </c:dLbl>
            <c:dLbl>
              <c:idx val="12"/>
              <c:layout>
                <c:manualLayout>
                  <c:x val="0"/>
                  <c:y val="-8.3526657719157349E-3"/>
                </c:manualLayout>
              </c:layout>
              <c:showVal val="1"/>
            </c:dLbl>
            <c:dLbl>
              <c:idx val="16"/>
              <c:layout>
                <c:manualLayout>
                  <c:x val="-6.8181818181818179E-3"/>
                  <c:y val="-8.3526657719156811E-3"/>
                </c:manualLayout>
              </c:layout>
              <c:showVal val="1"/>
            </c:dLbl>
            <c:dLbl>
              <c:idx val="18"/>
              <c:layout>
                <c:manualLayout>
                  <c:x val="0"/>
                  <c:y val="-1.9489553467803247E-2"/>
                </c:manualLayout>
              </c:layout>
              <c:showVal val="1"/>
            </c:dLbl>
            <c:dLbl>
              <c:idx val="20"/>
              <c:layout>
                <c:manualLayout>
                  <c:x val="2.2727272727272809E-3"/>
                  <c:y val="-1.9489553467803247E-2"/>
                </c:manualLayout>
              </c:layout>
              <c:showVal val="1"/>
            </c:dLbl>
            <c:txPr>
              <a:bodyPr/>
              <a:lstStyle/>
              <a:p>
                <a:pPr>
                  <a:defRPr b="1"/>
                </a:pPr>
                <a:endParaRPr lang="lt-LT"/>
              </a:p>
            </c:txPr>
            <c:showVal val="1"/>
          </c:dLbls>
          <c:cat>
            <c:strRef>
              <c:f>PagalProgram!$B$176:$B$196</c:f>
              <c:strCache>
                <c:ptCount val="21"/>
                <c:pt idx="0">
                  <c:v>Jaunimo ir suaugusiųjų mokykla</c:v>
                </c:pt>
                <c:pt idx="2">
                  <c:v>Kriukų pagrindinė mokykla</c:v>
                </c:pt>
                <c:pt idx="4">
                  <c:v>Gasčiūnų pagrindinė mokykla</c:v>
                </c:pt>
                <c:pt idx="6">
                  <c:v>Gataučių Marcės Katiliūtės mokykla</c:v>
                </c:pt>
                <c:pt idx="8">
                  <c:v>„Saulės“ pagrindinės mokyklos Plikiškių  skyrius </c:v>
                </c:pt>
                <c:pt idx="10">
                  <c:v>„Saulės“ pagrindinė mokykla</c:v>
                </c:pt>
                <c:pt idx="12">
                  <c:v>Mato Slančiausko progimnazija</c:v>
                </c:pt>
                <c:pt idx="14">
                  <c:v>Skaistgirio gimnazija</c:v>
                </c:pt>
                <c:pt idx="16">
                  <c:v>Žagarės gimnazija</c:v>
                </c:pt>
                <c:pt idx="18">
                  <c:v>„Aušros“ gimnazija</c:v>
                </c:pt>
                <c:pt idx="20">
                  <c:v>Joniškio rajonas</c:v>
                </c:pt>
              </c:strCache>
            </c:strRef>
          </c:cat>
          <c:val>
            <c:numRef>
              <c:f>PagalProgram!$E$176:$E$196</c:f>
              <c:numCache>
                <c:formatCode>General</c:formatCode>
                <c:ptCount val="21"/>
                <c:pt idx="0">
                  <c:v>0</c:v>
                </c:pt>
                <c:pt idx="2">
                  <c:v>12.4</c:v>
                </c:pt>
                <c:pt idx="4">
                  <c:v>11.7</c:v>
                </c:pt>
                <c:pt idx="6">
                  <c:v>14.2</c:v>
                </c:pt>
                <c:pt idx="8">
                  <c:v>11.5</c:v>
                </c:pt>
                <c:pt idx="10">
                  <c:v>23</c:v>
                </c:pt>
                <c:pt idx="12">
                  <c:v>21.2</c:v>
                </c:pt>
                <c:pt idx="14">
                  <c:v>18</c:v>
                </c:pt>
                <c:pt idx="16">
                  <c:v>18.899999999999999</c:v>
                </c:pt>
                <c:pt idx="18">
                  <c:v>22.8</c:v>
                </c:pt>
                <c:pt idx="20">
                  <c:v>17.7</c:v>
                </c:pt>
              </c:numCache>
            </c:numRef>
          </c:val>
        </c:ser>
        <c:dLbls>
          <c:showVal val="1"/>
        </c:dLbls>
        <c:gapWidth val="0"/>
        <c:gapDepth val="0"/>
        <c:shape val="box"/>
        <c:axId val="85904768"/>
        <c:axId val="102593664"/>
        <c:axId val="0"/>
      </c:bar3DChart>
      <c:catAx>
        <c:axId val="85904768"/>
        <c:scaling>
          <c:orientation val="minMax"/>
        </c:scaling>
        <c:axPos val="l"/>
        <c:numFmt formatCode="General" sourceLinked="1"/>
        <c:majorTickMark val="none"/>
        <c:tickLblPos val="nextTo"/>
        <c:txPr>
          <a:bodyPr/>
          <a:lstStyle/>
          <a:p>
            <a:pPr>
              <a:defRPr b="1"/>
            </a:pPr>
            <a:endParaRPr lang="lt-LT"/>
          </a:p>
        </c:txPr>
        <c:crossAx val="102593664"/>
        <c:crosses val="autoZero"/>
        <c:auto val="1"/>
        <c:lblAlgn val="ctr"/>
        <c:lblOffset val="100"/>
      </c:catAx>
      <c:valAx>
        <c:axId val="102593664"/>
        <c:scaling>
          <c:orientation val="minMax"/>
        </c:scaling>
        <c:delete val="1"/>
        <c:axPos val="b"/>
        <c:numFmt formatCode="General" sourceLinked="1"/>
        <c:tickLblPos val="none"/>
        <c:crossAx val="85904768"/>
        <c:crosses val="autoZero"/>
        <c:crossBetween val="between"/>
      </c:valAx>
      <c:spPr>
        <a:noFill/>
        <a:ln w="25400">
          <a:noFill/>
        </a:ln>
      </c:spPr>
    </c:plotArea>
    <c:legend>
      <c:legendPos val="t"/>
      <c:txPr>
        <a:bodyPr/>
        <a:lstStyle/>
        <a:p>
          <a:pPr>
            <a:defRPr b="1"/>
          </a:pPr>
          <a:endParaRPr lang="lt-LT"/>
        </a:p>
      </c:txPr>
    </c:legend>
    <c:plotVisOnly val="1"/>
    <c:dispBlanksAs val="gap"/>
  </c:chart>
  <c:spPr>
    <a:solidFill>
      <a:schemeClr val="bg1">
        <a:lumMod val="95000"/>
      </a:scheme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t-LT"/>
  <c:style val="26"/>
  <c:chart>
    <c:title>
      <c:tx>
        <c:rich>
          <a:bodyPr/>
          <a:lstStyle/>
          <a:p>
            <a:pPr>
              <a:defRPr sz="1400"/>
            </a:pPr>
            <a:r>
              <a:rPr lang="lt-LT" sz="1400"/>
              <a:t>Tolimesnė dešimtokų veikla</a:t>
            </a:r>
          </a:p>
        </c:rich>
      </c:tx>
      <c:layout>
        <c:manualLayout>
          <c:xMode val="edge"/>
          <c:yMode val="edge"/>
          <c:x val="0.30292480757845058"/>
          <c:y val="6.0060060060060073E-2"/>
        </c:manualLayout>
      </c:layout>
    </c:title>
    <c:view3D>
      <c:rotX val="30"/>
      <c:perspective val="30"/>
    </c:view3D>
    <c:plotArea>
      <c:layout>
        <c:manualLayout>
          <c:layoutTarget val="inner"/>
          <c:xMode val="edge"/>
          <c:yMode val="edge"/>
          <c:x val="6.1900486240285733E-2"/>
          <c:y val="0.17323452292922403"/>
          <c:w val="0.51610541577507074"/>
          <c:h val="0.73884604383715224"/>
        </c:manualLayout>
      </c:layout>
      <c:pie3DChart>
        <c:varyColors val="1"/>
        <c:ser>
          <c:idx val="0"/>
          <c:order val="0"/>
          <c:dPt>
            <c:idx val="0"/>
            <c:explosion val="6"/>
          </c:dPt>
          <c:dPt>
            <c:idx val="1"/>
            <c:explosion val="5"/>
          </c:dPt>
          <c:dPt>
            <c:idx val="3"/>
            <c:explosion val="10"/>
          </c:dPt>
          <c:dPt>
            <c:idx val="4"/>
            <c:explosion val="5"/>
          </c:dPt>
          <c:dPt>
            <c:idx val="5"/>
            <c:explosion val="7"/>
          </c:dPt>
          <c:dPt>
            <c:idx val="6"/>
            <c:explosion val="6"/>
          </c:dPt>
          <c:dLbls>
            <c:dLbl>
              <c:idx val="0"/>
              <c:layout>
                <c:manualLayout>
                  <c:x val="-0.14975622718563394"/>
                  <c:y val="-8.6412309911619731E-2"/>
                </c:manualLayout>
              </c:layout>
              <c:tx>
                <c:rich>
                  <a:bodyPr/>
                  <a:lstStyle/>
                  <a:p>
                    <a:pPr>
                      <a:defRPr b="1">
                        <a:solidFill>
                          <a:schemeClr val="bg1"/>
                        </a:solidFill>
                      </a:defRPr>
                    </a:pPr>
                    <a:r>
                      <a:rPr lang="en-US" b="1">
                        <a:solidFill>
                          <a:schemeClr val="bg1"/>
                        </a:solidFill>
                      </a:rPr>
                      <a:t>64</a:t>
                    </a:r>
                    <a:r>
                      <a:rPr lang="lt-LT" b="1">
                        <a:solidFill>
                          <a:schemeClr val="bg1"/>
                        </a:solidFill>
                      </a:rPr>
                      <a:t>,1</a:t>
                    </a:r>
                    <a:r>
                      <a:rPr lang="en-US" b="1">
                        <a:solidFill>
                          <a:schemeClr val="bg1"/>
                        </a:solidFill>
                      </a:rPr>
                      <a:t>%</a:t>
                    </a:r>
                  </a:p>
                </c:rich>
              </c:tx>
              <c:spPr/>
              <c:showPercent val="1"/>
            </c:dLbl>
            <c:dLbl>
              <c:idx val="1"/>
              <c:layout>
                <c:manualLayout>
                  <c:x val="0.12597306331379982"/>
                  <c:y val="3.9600849078172519E-3"/>
                </c:manualLayout>
              </c:layout>
              <c:tx>
                <c:rich>
                  <a:bodyPr/>
                  <a:lstStyle/>
                  <a:p>
                    <a:pPr>
                      <a:defRPr b="1">
                        <a:solidFill>
                          <a:schemeClr val="bg1"/>
                        </a:solidFill>
                      </a:defRPr>
                    </a:pPr>
                    <a:r>
                      <a:rPr lang="en-US" b="1">
                        <a:solidFill>
                          <a:schemeClr val="bg1"/>
                        </a:solidFill>
                      </a:rPr>
                      <a:t>2</a:t>
                    </a:r>
                    <a:r>
                      <a:rPr lang="lt-LT" b="1">
                        <a:solidFill>
                          <a:schemeClr val="bg1"/>
                        </a:solidFill>
                      </a:rPr>
                      <a:t>7,3</a:t>
                    </a:r>
                    <a:r>
                      <a:rPr lang="en-US" b="1">
                        <a:solidFill>
                          <a:schemeClr val="bg1"/>
                        </a:solidFill>
                      </a:rPr>
                      <a:t>%</a:t>
                    </a:r>
                  </a:p>
                </c:rich>
              </c:tx>
              <c:spPr/>
              <c:showPercent val="1"/>
            </c:dLbl>
            <c:dLbl>
              <c:idx val="2"/>
              <c:tx>
                <c:rich>
                  <a:bodyPr/>
                  <a:lstStyle/>
                  <a:p>
                    <a:r>
                      <a:rPr lang="lt-LT" b="1"/>
                      <a:t>0</a:t>
                    </a:r>
                    <a:r>
                      <a:rPr lang="lt-LT"/>
                      <a:t>,5</a:t>
                    </a:r>
                    <a:r>
                      <a:rPr lang="en-US"/>
                      <a:t>%</a:t>
                    </a:r>
                  </a:p>
                </c:rich>
              </c:tx>
              <c:showPercent val="1"/>
            </c:dLbl>
            <c:dLbl>
              <c:idx val="3"/>
              <c:tx>
                <c:rich>
                  <a:bodyPr/>
                  <a:lstStyle/>
                  <a:p>
                    <a:r>
                      <a:rPr lang="lt-LT" b="1"/>
                      <a:t>0</a:t>
                    </a:r>
                    <a:r>
                      <a:rPr lang="lt-LT"/>
                      <a:t>,5</a:t>
                    </a:r>
                    <a:r>
                      <a:rPr lang="en-US"/>
                      <a:t>%</a:t>
                    </a:r>
                  </a:p>
                </c:rich>
              </c:tx>
              <c:showPercent val="1"/>
            </c:dLbl>
            <c:dLbl>
              <c:idx val="4"/>
              <c:tx>
                <c:rich>
                  <a:bodyPr/>
                  <a:lstStyle/>
                  <a:p>
                    <a:r>
                      <a:rPr lang="lt-LT" b="1"/>
                      <a:t>1</a:t>
                    </a:r>
                    <a:r>
                      <a:rPr lang="lt-LT"/>
                      <a:t>,8</a:t>
                    </a:r>
                    <a:r>
                      <a:rPr lang="en-US"/>
                      <a:t>%</a:t>
                    </a:r>
                  </a:p>
                </c:rich>
              </c:tx>
              <c:showPercent val="1"/>
            </c:dLbl>
            <c:dLbl>
              <c:idx val="5"/>
              <c:tx>
                <c:rich>
                  <a:bodyPr/>
                  <a:lstStyle/>
                  <a:p>
                    <a:r>
                      <a:rPr lang="en-US" b="1"/>
                      <a:t>2</a:t>
                    </a:r>
                    <a:r>
                      <a:rPr lang="lt-LT"/>
                      <a:t>,3</a:t>
                    </a:r>
                    <a:r>
                      <a:rPr lang="en-US"/>
                      <a:t>%</a:t>
                    </a:r>
                  </a:p>
                </c:rich>
              </c:tx>
              <c:showPercent val="1"/>
            </c:dLbl>
            <c:dLbl>
              <c:idx val="6"/>
              <c:tx>
                <c:rich>
                  <a:bodyPr/>
                  <a:lstStyle/>
                  <a:p>
                    <a:r>
                      <a:rPr lang="lt-LT" b="1"/>
                      <a:t>3</a:t>
                    </a:r>
                    <a:r>
                      <a:rPr lang="lt-LT"/>
                      <a:t>,6</a:t>
                    </a:r>
                    <a:r>
                      <a:rPr lang="en-US"/>
                      <a:t>%</a:t>
                    </a:r>
                  </a:p>
                </c:rich>
              </c:tx>
              <c:showPercent val="1"/>
            </c:dLbl>
            <c:txPr>
              <a:bodyPr/>
              <a:lstStyle/>
              <a:p>
                <a:pPr>
                  <a:defRPr b="1"/>
                </a:pPr>
                <a:endParaRPr lang="lt-LT"/>
              </a:p>
            </c:txPr>
            <c:showPercent val="1"/>
            <c:showLeaderLines val="1"/>
          </c:dLbls>
          <c:cat>
            <c:strRef>
              <c:f>'diagr 10-kai'!$B$45:$H$45</c:f>
              <c:strCache>
                <c:ptCount val="7"/>
                <c:pt idx="0">
                  <c:v>Tęsia mokslą pagal vidurinio ugdymo programą - 141 mokinys</c:v>
                </c:pt>
                <c:pt idx="1">
                  <c:v>Mokosi profesinėse mokyklose - 61 mokiniai</c:v>
                </c:pt>
                <c:pt idx="2">
                  <c:v>Paliko kartoto kursą - 1</c:v>
                </c:pt>
                <c:pt idx="3">
                  <c:v>Pradėjo dirbti - 1</c:v>
                </c:pt>
                <c:pt idx="4">
                  <c:v>Niekur nesimoko ir nedirba - 4 mokiniai</c:v>
                </c:pt>
                <c:pt idx="5">
                  <c:v>Išvyko į užsienį - 7 mokiniai</c:v>
                </c:pt>
                <c:pt idx="6">
                  <c:v>Kita - 8 mokiniai</c:v>
                </c:pt>
              </c:strCache>
            </c:strRef>
          </c:cat>
          <c:val>
            <c:numRef>
              <c:f>'diagr 10-kai'!$B$46:$H$46</c:f>
              <c:numCache>
                <c:formatCode>0.0%</c:formatCode>
                <c:ptCount val="7"/>
                <c:pt idx="0">
                  <c:v>0.64100000000000046</c:v>
                </c:pt>
                <c:pt idx="1">
                  <c:v>0.27200000000000002</c:v>
                </c:pt>
                <c:pt idx="2">
                  <c:v>5.0000000000000036E-3</c:v>
                </c:pt>
                <c:pt idx="3">
                  <c:v>5.0000000000000036E-3</c:v>
                </c:pt>
                <c:pt idx="4">
                  <c:v>1.7999999999999999E-2</c:v>
                </c:pt>
                <c:pt idx="5">
                  <c:v>2.3E-2</c:v>
                </c:pt>
                <c:pt idx="6">
                  <c:v>3.5999999999999997E-2</c:v>
                </c:pt>
              </c:numCache>
            </c:numRef>
          </c:val>
        </c:ser>
        <c:dLbls>
          <c:showPercent val="1"/>
        </c:dLbls>
      </c:pie3DChart>
    </c:plotArea>
    <c:legend>
      <c:legendPos val="r"/>
      <c:layout>
        <c:manualLayout>
          <c:xMode val="edge"/>
          <c:yMode val="edge"/>
          <c:x val="0.60338475452557971"/>
          <c:y val="0.18050922688543544"/>
          <c:w val="0.37056428155904769"/>
          <c:h val="0.78238407699037615"/>
        </c:manualLayout>
      </c:layout>
    </c:legend>
    <c:plotVisOnly val="1"/>
  </c:chart>
  <c:spPr>
    <a:solidFill>
      <a:schemeClr val="bg1">
        <a:lumMod val="95000"/>
      </a:schemeClr>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t-LT"/>
  <c:style val="26"/>
  <c:chart>
    <c:title>
      <c:tx>
        <c:rich>
          <a:bodyPr/>
          <a:lstStyle/>
          <a:p>
            <a:pPr>
              <a:defRPr sz="1400"/>
            </a:pPr>
            <a:r>
              <a:rPr lang="lt-LT" sz="1400"/>
              <a:t>Tolimesnės abiturientų studijos</a:t>
            </a:r>
          </a:p>
        </c:rich>
      </c:tx>
    </c:title>
    <c:view3D>
      <c:rAngAx val="1"/>
    </c:view3D>
    <c:plotArea>
      <c:layout/>
      <c:bar3DChart>
        <c:barDir val="bar"/>
        <c:grouping val="clustered"/>
        <c:ser>
          <c:idx val="0"/>
          <c:order val="0"/>
          <c:tx>
            <c:strRef>
              <c:f>'Diagr 12'!$B$59</c:f>
              <c:strCache>
                <c:ptCount val="1"/>
                <c:pt idx="0">
                  <c:v>2017 m. rugsėjo 1 d.</c:v>
                </c:pt>
              </c:strCache>
            </c:strRef>
          </c:tx>
          <c:spPr>
            <a:solidFill>
              <a:srgbClr val="FFC000"/>
            </a:solidFill>
          </c:spPr>
          <c:dLbls>
            <c:dLbl>
              <c:idx val="0"/>
              <c:tx>
                <c:rich>
                  <a:bodyPr/>
                  <a:lstStyle/>
                  <a:p>
                    <a:r>
                      <a:rPr lang="en-US" b="1"/>
                      <a:t>7</a:t>
                    </a:r>
                    <a:r>
                      <a:rPr lang="en-US"/>
                      <a:t>2,3</a:t>
                    </a:r>
                    <a:r>
                      <a:rPr lang="lt-LT"/>
                      <a:t> </a:t>
                    </a:r>
                    <a:r>
                      <a:rPr lang="lt-LT" sz="1000" b="1" i="0" u="none" strike="noStrike" baseline="0"/>
                      <a:t>%</a:t>
                    </a:r>
                    <a:endParaRPr lang="en-US"/>
                  </a:p>
                </c:rich>
              </c:tx>
              <c:showVal val="1"/>
            </c:dLbl>
            <c:dLbl>
              <c:idx val="1"/>
              <c:tx>
                <c:rich>
                  <a:bodyPr/>
                  <a:lstStyle/>
                  <a:p>
                    <a:r>
                      <a:rPr lang="en-US" b="1"/>
                      <a:t>2</a:t>
                    </a:r>
                    <a:r>
                      <a:rPr lang="en-US"/>
                      <a:t>,5</a:t>
                    </a:r>
                    <a:r>
                      <a:rPr lang="lt-LT"/>
                      <a:t> </a:t>
                    </a:r>
                    <a:r>
                      <a:rPr lang="lt-LT" sz="1000" b="1" i="0" u="none" strike="noStrike" baseline="0"/>
                      <a:t>%</a:t>
                    </a:r>
                    <a:endParaRPr lang="en-US"/>
                  </a:p>
                </c:rich>
              </c:tx>
              <c:showVal val="1"/>
            </c:dLbl>
            <c:dLbl>
              <c:idx val="2"/>
              <c:tx>
                <c:rich>
                  <a:bodyPr/>
                  <a:lstStyle/>
                  <a:p>
                    <a:r>
                      <a:rPr lang="en-US" b="1"/>
                      <a:t>1</a:t>
                    </a:r>
                    <a:r>
                      <a:rPr lang="en-US"/>
                      <a:t>,9</a:t>
                    </a:r>
                    <a:r>
                      <a:rPr lang="lt-LT"/>
                      <a:t> </a:t>
                    </a:r>
                    <a:r>
                      <a:rPr lang="lt-LT" sz="1000" b="1" i="0" u="none" strike="noStrike" baseline="0"/>
                      <a:t>%</a:t>
                    </a:r>
                    <a:endParaRPr lang="en-US"/>
                  </a:p>
                </c:rich>
              </c:tx>
              <c:showVal val="1"/>
            </c:dLbl>
            <c:dLbl>
              <c:idx val="3"/>
              <c:layout>
                <c:manualLayout>
                  <c:x val="5.5555555555555558E-3"/>
                  <c:y val="0"/>
                </c:manualLayout>
              </c:layout>
              <c:tx>
                <c:rich>
                  <a:bodyPr/>
                  <a:lstStyle/>
                  <a:p>
                    <a:r>
                      <a:rPr lang="en-US" b="1"/>
                      <a:t>3</a:t>
                    </a:r>
                    <a:r>
                      <a:rPr lang="en-US"/>
                      <a:t>1,4</a:t>
                    </a:r>
                    <a:r>
                      <a:rPr lang="lt-LT"/>
                      <a:t> </a:t>
                    </a:r>
                    <a:r>
                      <a:rPr lang="lt-LT" sz="1000" b="1" i="0" u="none" strike="noStrike" baseline="0"/>
                      <a:t>%</a:t>
                    </a:r>
                    <a:endParaRPr lang="en-US"/>
                  </a:p>
                </c:rich>
              </c:tx>
              <c:showVal val="1"/>
            </c:dLbl>
            <c:dLbl>
              <c:idx val="4"/>
              <c:tx>
                <c:rich>
                  <a:bodyPr/>
                  <a:lstStyle/>
                  <a:p>
                    <a:r>
                      <a:rPr lang="en-US" b="1"/>
                      <a:t>3</a:t>
                    </a:r>
                    <a:r>
                      <a:rPr lang="en-US"/>
                      <a:t>6,5</a:t>
                    </a:r>
                    <a:r>
                      <a:rPr lang="lt-LT"/>
                      <a:t> </a:t>
                    </a:r>
                    <a:r>
                      <a:rPr lang="lt-LT" sz="1000" b="1" i="0" u="none" strike="noStrike" baseline="0"/>
                      <a:t>%</a:t>
                    </a:r>
                    <a:endParaRPr lang="en-US"/>
                  </a:p>
                </c:rich>
              </c:tx>
              <c:showVal val="1"/>
            </c:dLbl>
            <c:txPr>
              <a:bodyPr/>
              <a:lstStyle/>
              <a:p>
                <a:pPr>
                  <a:defRPr b="1"/>
                </a:pPr>
                <a:endParaRPr lang="lt-LT"/>
              </a:p>
            </c:txPr>
            <c:showVal val="1"/>
          </c:dLbls>
          <c:cat>
            <c:strRef>
              <c:f>'Diagr 12'!$A$60:$A$64</c:f>
              <c:strCache>
                <c:ptCount val="5"/>
                <c:pt idx="0">
                  <c:v>Mokosi mokinių - procentas</c:v>
                </c:pt>
                <c:pt idx="1">
                  <c:v>Mokosi užsienyje </c:v>
                </c:pt>
                <c:pt idx="2">
                  <c:v>Mokosi profesinėse mokyklose</c:v>
                </c:pt>
                <c:pt idx="3">
                  <c:v>Mokosi kolegijose</c:v>
                </c:pt>
                <c:pt idx="4">
                  <c:v>Mokosi universitetuose </c:v>
                </c:pt>
              </c:strCache>
            </c:strRef>
          </c:cat>
          <c:val>
            <c:numRef>
              <c:f>'Diagr 12'!$B$60:$B$64</c:f>
              <c:numCache>
                <c:formatCode>0.0</c:formatCode>
                <c:ptCount val="5"/>
                <c:pt idx="0">
                  <c:v>72.300000000000011</c:v>
                </c:pt>
                <c:pt idx="1">
                  <c:v>2.5</c:v>
                </c:pt>
                <c:pt idx="2">
                  <c:v>1.9000000000000001</c:v>
                </c:pt>
                <c:pt idx="3">
                  <c:v>31.4</c:v>
                </c:pt>
                <c:pt idx="4">
                  <c:v>36.5</c:v>
                </c:pt>
              </c:numCache>
            </c:numRef>
          </c:val>
        </c:ser>
        <c:ser>
          <c:idx val="1"/>
          <c:order val="1"/>
          <c:tx>
            <c:strRef>
              <c:f>'Diagr 12'!$C$59</c:f>
              <c:strCache>
                <c:ptCount val="1"/>
                <c:pt idx="0">
                  <c:v>2016 m. rugsėjo 1 d.</c:v>
                </c:pt>
              </c:strCache>
            </c:strRef>
          </c:tx>
          <c:dLbls>
            <c:dLbl>
              <c:idx val="0"/>
              <c:layout>
                <c:manualLayout>
                  <c:x val="0"/>
                  <c:y val="-1.3888888888888944E-2"/>
                </c:manualLayout>
              </c:layout>
              <c:tx>
                <c:rich>
                  <a:bodyPr/>
                  <a:lstStyle/>
                  <a:p>
                    <a:r>
                      <a:rPr lang="en-US" b="1"/>
                      <a:t>7</a:t>
                    </a:r>
                    <a:r>
                      <a:rPr lang="en-US"/>
                      <a:t>0,2</a:t>
                    </a:r>
                    <a:r>
                      <a:rPr lang="lt-LT"/>
                      <a:t> </a:t>
                    </a:r>
                    <a:r>
                      <a:rPr lang="lt-LT" sz="1000" b="1" i="0" u="none" strike="noStrike" baseline="0"/>
                      <a:t>%</a:t>
                    </a:r>
                    <a:endParaRPr lang="en-US"/>
                  </a:p>
                </c:rich>
              </c:tx>
              <c:showVal val="1"/>
            </c:dLbl>
            <c:dLbl>
              <c:idx val="1"/>
              <c:layout>
                <c:manualLayout>
                  <c:x val="0"/>
                  <c:y val="-1.8518518518518653E-2"/>
                </c:manualLayout>
              </c:layout>
              <c:tx>
                <c:rich>
                  <a:bodyPr/>
                  <a:lstStyle/>
                  <a:p>
                    <a:r>
                      <a:rPr lang="en-US" b="1"/>
                      <a:t>1</a:t>
                    </a:r>
                    <a:r>
                      <a:rPr lang="en-US"/>
                      <a:t>,2</a:t>
                    </a:r>
                    <a:r>
                      <a:rPr lang="lt-LT"/>
                      <a:t> </a:t>
                    </a:r>
                    <a:r>
                      <a:rPr lang="lt-LT" sz="1000" b="1" i="0" u="none" strike="noStrike" baseline="0"/>
                      <a:t>%</a:t>
                    </a:r>
                    <a:endParaRPr lang="en-US"/>
                  </a:p>
                </c:rich>
              </c:tx>
              <c:showVal val="1"/>
            </c:dLbl>
            <c:dLbl>
              <c:idx val="2"/>
              <c:layout>
                <c:manualLayout>
                  <c:x val="2.7777777777777974E-3"/>
                  <c:y val="-1.3888888888888944E-2"/>
                </c:manualLayout>
              </c:layout>
              <c:tx>
                <c:rich>
                  <a:bodyPr/>
                  <a:lstStyle/>
                  <a:p>
                    <a:r>
                      <a:rPr lang="en-US" b="1"/>
                      <a:t>7</a:t>
                    </a:r>
                    <a:r>
                      <a:rPr lang="en-US"/>
                      <a:t>,7</a:t>
                    </a:r>
                    <a:r>
                      <a:rPr lang="lt-LT"/>
                      <a:t> </a:t>
                    </a:r>
                    <a:r>
                      <a:rPr lang="lt-LT" sz="1000" b="1" i="0" u="none" strike="noStrike" baseline="0"/>
                      <a:t>%</a:t>
                    </a:r>
                    <a:endParaRPr lang="en-US"/>
                  </a:p>
                </c:rich>
              </c:tx>
              <c:showVal val="1"/>
            </c:dLbl>
            <c:dLbl>
              <c:idx val="3"/>
              <c:layout>
                <c:manualLayout>
                  <c:x val="5.5555555555555558E-3"/>
                  <c:y val="-1.3888888888888944E-2"/>
                </c:manualLayout>
              </c:layout>
              <c:tx>
                <c:rich>
                  <a:bodyPr/>
                  <a:lstStyle/>
                  <a:p>
                    <a:r>
                      <a:rPr lang="en-US" b="1"/>
                      <a:t>2</a:t>
                    </a:r>
                    <a:r>
                      <a:rPr lang="en-US"/>
                      <a:t>1,4</a:t>
                    </a:r>
                    <a:r>
                      <a:rPr lang="lt-LT"/>
                      <a:t> </a:t>
                    </a:r>
                    <a:r>
                      <a:rPr lang="lt-LT" sz="1000" b="1" i="0" u="none" strike="noStrike" baseline="0"/>
                      <a:t>%</a:t>
                    </a:r>
                    <a:endParaRPr lang="en-US"/>
                  </a:p>
                </c:rich>
              </c:tx>
              <c:showVal val="1"/>
            </c:dLbl>
            <c:dLbl>
              <c:idx val="4"/>
              <c:layout>
                <c:manualLayout>
                  <c:x val="8.3333333333333367E-3"/>
                  <c:y val="-2.3148148148148147E-2"/>
                </c:manualLayout>
              </c:layout>
              <c:tx>
                <c:rich>
                  <a:bodyPr/>
                  <a:lstStyle/>
                  <a:p>
                    <a:r>
                      <a:rPr lang="en-US" b="1"/>
                      <a:t>3</a:t>
                    </a:r>
                    <a:r>
                      <a:rPr lang="en-US"/>
                      <a:t>9,9</a:t>
                    </a:r>
                    <a:r>
                      <a:rPr lang="lt-LT"/>
                      <a:t> </a:t>
                    </a:r>
                    <a:r>
                      <a:rPr lang="lt-LT" sz="1000" b="1" i="0" u="none" strike="noStrike" baseline="0"/>
                      <a:t>%</a:t>
                    </a:r>
                    <a:endParaRPr lang="en-US"/>
                  </a:p>
                </c:rich>
              </c:tx>
              <c:showVal val="1"/>
            </c:dLbl>
            <c:txPr>
              <a:bodyPr/>
              <a:lstStyle/>
              <a:p>
                <a:pPr>
                  <a:defRPr b="1"/>
                </a:pPr>
                <a:endParaRPr lang="lt-LT"/>
              </a:p>
            </c:txPr>
            <c:showVal val="1"/>
          </c:dLbls>
          <c:cat>
            <c:strRef>
              <c:f>'Diagr 12'!$A$60:$A$64</c:f>
              <c:strCache>
                <c:ptCount val="5"/>
                <c:pt idx="0">
                  <c:v>Mokosi mokinių - procentas</c:v>
                </c:pt>
                <c:pt idx="1">
                  <c:v>Mokosi užsienyje </c:v>
                </c:pt>
                <c:pt idx="2">
                  <c:v>Mokosi profesinėse mokyklose</c:v>
                </c:pt>
                <c:pt idx="3">
                  <c:v>Mokosi kolegijose</c:v>
                </c:pt>
                <c:pt idx="4">
                  <c:v>Mokosi universitetuose </c:v>
                </c:pt>
              </c:strCache>
            </c:strRef>
          </c:cat>
          <c:val>
            <c:numRef>
              <c:f>'Diagr 12'!$C$60:$C$64</c:f>
              <c:numCache>
                <c:formatCode>General</c:formatCode>
                <c:ptCount val="5"/>
                <c:pt idx="0" formatCode="0.0">
                  <c:v>70.2</c:v>
                </c:pt>
                <c:pt idx="1">
                  <c:v>1.2</c:v>
                </c:pt>
                <c:pt idx="2">
                  <c:v>7.7</c:v>
                </c:pt>
                <c:pt idx="3" formatCode="0.0">
                  <c:v>21.4</c:v>
                </c:pt>
                <c:pt idx="4" formatCode="0.0">
                  <c:v>39.9</c:v>
                </c:pt>
              </c:numCache>
            </c:numRef>
          </c:val>
        </c:ser>
        <c:dLbls>
          <c:showVal val="1"/>
        </c:dLbls>
        <c:shape val="cylinder"/>
        <c:axId val="87392640"/>
        <c:axId val="87394176"/>
        <c:axId val="0"/>
      </c:bar3DChart>
      <c:catAx>
        <c:axId val="87392640"/>
        <c:scaling>
          <c:orientation val="minMax"/>
        </c:scaling>
        <c:axPos val="l"/>
        <c:majorTickMark val="none"/>
        <c:tickLblPos val="nextTo"/>
        <c:txPr>
          <a:bodyPr/>
          <a:lstStyle/>
          <a:p>
            <a:pPr>
              <a:defRPr b="1"/>
            </a:pPr>
            <a:endParaRPr lang="lt-LT"/>
          </a:p>
        </c:txPr>
        <c:crossAx val="87394176"/>
        <c:crosses val="autoZero"/>
        <c:auto val="1"/>
        <c:lblAlgn val="ctr"/>
        <c:lblOffset val="100"/>
      </c:catAx>
      <c:valAx>
        <c:axId val="87394176"/>
        <c:scaling>
          <c:orientation val="minMax"/>
        </c:scaling>
        <c:delete val="1"/>
        <c:axPos val="b"/>
        <c:numFmt formatCode="0.0" sourceLinked="1"/>
        <c:tickLblPos val="none"/>
        <c:crossAx val="87392640"/>
        <c:crosses val="autoZero"/>
        <c:crossBetween val="between"/>
      </c:valAx>
    </c:plotArea>
    <c:legend>
      <c:legendPos val="t"/>
      <c:txPr>
        <a:bodyPr/>
        <a:lstStyle/>
        <a:p>
          <a:pPr>
            <a:defRPr b="1" i="0"/>
          </a:pPr>
          <a:endParaRPr lang="lt-LT"/>
        </a:p>
      </c:txPr>
    </c:legend>
    <c:plotVisOnly val="1"/>
  </c:chart>
  <c:spPr>
    <a:solidFill>
      <a:schemeClr val="bg1">
        <a:lumMod val="95000"/>
      </a:schemeClr>
    </a:soli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18806-FC51-4056-8EFA-7DD4B41C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8073</Words>
  <Characters>4603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auslpn</dc:creator>
  <cp:lastModifiedBy>auslpn</cp:lastModifiedBy>
  <cp:revision>21</cp:revision>
  <dcterms:created xsi:type="dcterms:W3CDTF">2018-03-23T07:43:00Z</dcterms:created>
  <dcterms:modified xsi:type="dcterms:W3CDTF">2018-05-08T08:21:00Z</dcterms:modified>
</cp:coreProperties>
</file>